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04" w:rsidRPr="00645370" w:rsidRDefault="006F3404" w:rsidP="006F3404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45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  <w:r w:rsidR="00AC48B3" w:rsidRPr="00645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6F3404" w:rsidRPr="00F15B4E" w:rsidRDefault="00A56155" w:rsidP="006F3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итогов </w:t>
      </w:r>
      <w:r w:rsidR="006F3404" w:rsidRPr="00BB35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тендер</w:t>
      </w:r>
      <w:r w:rsidR="00BB35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</w:t>
      </w:r>
      <w:r w:rsidR="005C1A39" w:rsidRPr="00BB35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B35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 закупу</w:t>
      </w:r>
      <w:r w:rsidR="00BB35DB">
        <w:rPr>
          <w:rFonts w:ascii="Times New Roman" w:hAnsi="Times New Roman"/>
          <w:b/>
          <w:sz w:val="28"/>
          <w:szCs w:val="28"/>
        </w:rPr>
        <w:t xml:space="preserve"> </w:t>
      </w:r>
      <w:r w:rsidR="00BB35DB">
        <w:rPr>
          <w:rFonts w:ascii="Times New Roman" w:hAnsi="Times New Roman"/>
          <w:b/>
          <w:szCs w:val="28"/>
        </w:rPr>
        <w:t>реагентов с принадлежностями к диагностическому оборудованию Сэлл Скан 100 в комплекте на 2020 год</w:t>
      </w:r>
    </w:p>
    <w:p w:rsidR="006F3404" w:rsidRPr="006D56A1" w:rsidRDefault="006F3404" w:rsidP="00645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П</w:t>
      </w:r>
      <w:r w:rsidR="003F2866"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авлодар</w:t>
      </w:r>
      <w:r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7C97"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45370"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512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06</w:t>
      </w:r>
      <w:r w:rsidR="00BB3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</w:t>
      </w:r>
      <w:r w:rsidR="001B184C"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 w:rsidR="00645370"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A17C97"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645370"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6F3404" w:rsidRPr="006D56A1" w:rsidRDefault="00AE7E9F" w:rsidP="006F34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E7E9F" w:rsidRPr="006D56A1" w:rsidRDefault="006F3404" w:rsidP="00F15B4E">
      <w:pPr>
        <w:pStyle w:val="aa"/>
        <w:spacing w:before="0" w:beforeAutospacing="0" w:after="0" w:afterAutospacing="0"/>
        <w:ind w:right="-710"/>
      </w:pPr>
      <w:r w:rsidRPr="006D56A1">
        <w:rPr>
          <w:b/>
          <w:lang w:eastAsia="ru-RU"/>
        </w:rPr>
        <w:tab/>
      </w:r>
      <w:r w:rsidR="00AE7E9F" w:rsidRPr="006D56A1">
        <w:t xml:space="preserve">      В соответствии с требованиями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утвержденного Постановлением правительства республики Казахстан от 30 октября 2009 года № 1729 (далее - Правила) тендерная комиссия в составе:</w:t>
      </w:r>
    </w:p>
    <w:p w:rsidR="006F3404" w:rsidRPr="006D56A1" w:rsidRDefault="006F3404" w:rsidP="00AE7E9F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7088"/>
      </w:tblGrid>
      <w:tr w:rsidR="00BB35DB" w:rsidRPr="00096463" w:rsidTr="005B7410">
        <w:tc>
          <w:tcPr>
            <w:tcW w:w="567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126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Альгожин Т.Б.</w:t>
            </w:r>
          </w:p>
        </w:tc>
        <w:tc>
          <w:tcPr>
            <w:tcW w:w="7088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Заместитель Директора по медицинской части КГП на ПХВ «ПООД»</w:t>
            </w:r>
          </w:p>
        </w:tc>
      </w:tr>
      <w:tr w:rsidR="00BB35DB" w:rsidRPr="00096463" w:rsidTr="005B7410">
        <w:tc>
          <w:tcPr>
            <w:tcW w:w="567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Мукушева А.Х.</w:t>
            </w:r>
          </w:p>
        </w:tc>
        <w:tc>
          <w:tcPr>
            <w:tcW w:w="7088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заведующая цитологической лабораторией КГП на ПХВ «ПООД»</w:t>
            </w:r>
          </w:p>
        </w:tc>
      </w:tr>
      <w:tr w:rsidR="00BB35DB" w:rsidRPr="00096463" w:rsidTr="005B7410">
        <w:tc>
          <w:tcPr>
            <w:tcW w:w="567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Ибраимова Ш.Ж.</w:t>
            </w:r>
          </w:p>
        </w:tc>
        <w:tc>
          <w:tcPr>
            <w:tcW w:w="7088" w:type="dxa"/>
          </w:tcPr>
          <w:p w:rsidR="00BB35DB" w:rsidRPr="00BB35DB" w:rsidRDefault="00BB35DB" w:rsidP="00BB35DB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B35DB">
              <w:rPr>
                <w:rFonts w:ascii="Times New Roman" w:eastAsia="Calibri" w:hAnsi="Times New Roman" w:cs="Times New Roman"/>
                <w:sz w:val="24"/>
                <w:szCs w:val="28"/>
              </w:rPr>
              <w:t>главная медсестра КГП на ПХВ «ПООД»</w:t>
            </w:r>
          </w:p>
        </w:tc>
      </w:tr>
    </w:tbl>
    <w:p w:rsidR="006F3404" w:rsidRPr="006D56A1" w:rsidRDefault="00AE7E9F" w:rsidP="0064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6A1">
        <w:rPr>
          <w:rFonts w:ascii="Times New Roman" w:hAnsi="Times New Roman" w:cs="Times New Roman"/>
          <w:sz w:val="24"/>
          <w:szCs w:val="24"/>
        </w:rPr>
        <w:t xml:space="preserve">   Рассмотрев </w:t>
      </w:r>
      <w:r w:rsidR="006F3404" w:rsidRPr="006D56A1">
        <w:rPr>
          <w:rFonts w:ascii="Times New Roman" w:hAnsi="Times New Roman" w:cs="Times New Roman"/>
          <w:sz w:val="24"/>
          <w:szCs w:val="24"/>
        </w:rPr>
        <w:t>тенде</w:t>
      </w:r>
      <w:r w:rsidRPr="006D56A1">
        <w:rPr>
          <w:rFonts w:ascii="Times New Roman" w:hAnsi="Times New Roman" w:cs="Times New Roman"/>
          <w:sz w:val="24"/>
          <w:szCs w:val="24"/>
        </w:rPr>
        <w:t>рную документацию и представленную тендерную заявку</w:t>
      </w:r>
      <w:r w:rsidR="005C1A39" w:rsidRPr="006D56A1">
        <w:rPr>
          <w:rFonts w:ascii="Times New Roman" w:hAnsi="Times New Roman" w:cs="Times New Roman"/>
          <w:sz w:val="24"/>
          <w:szCs w:val="24"/>
        </w:rPr>
        <w:t xml:space="preserve"> по</w:t>
      </w:r>
      <w:r w:rsidR="00645370" w:rsidRPr="006D56A1">
        <w:rPr>
          <w:rFonts w:ascii="Times New Roman" w:hAnsi="Times New Roman" w:cs="Times New Roman"/>
          <w:sz w:val="24"/>
          <w:szCs w:val="24"/>
        </w:rPr>
        <w:t xml:space="preserve">тенциального поставщика, </w:t>
      </w:r>
      <w:r w:rsidRPr="006D56A1">
        <w:rPr>
          <w:rFonts w:ascii="Times New Roman" w:hAnsi="Times New Roman" w:cs="Times New Roman"/>
          <w:b/>
          <w:sz w:val="24"/>
          <w:szCs w:val="24"/>
        </w:rPr>
        <w:t>постановила</w:t>
      </w:r>
      <w:r w:rsidRPr="006D56A1">
        <w:rPr>
          <w:rFonts w:ascii="Times New Roman" w:hAnsi="Times New Roman" w:cs="Times New Roman"/>
          <w:sz w:val="24"/>
          <w:szCs w:val="24"/>
        </w:rPr>
        <w:t>:</w:t>
      </w:r>
    </w:p>
    <w:p w:rsidR="00645370" w:rsidRPr="006D56A1" w:rsidRDefault="00AE7E9F" w:rsidP="0064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6A1">
        <w:rPr>
          <w:rFonts w:ascii="Times New Roman" w:hAnsi="Times New Roman" w:cs="Times New Roman"/>
          <w:sz w:val="24"/>
          <w:szCs w:val="24"/>
        </w:rPr>
        <w:t xml:space="preserve">    </w:t>
      </w:r>
      <w:r w:rsidR="00645370" w:rsidRPr="006D5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местонахождение, квалификационные данные потенциальных поставщиков:</w:t>
      </w:r>
    </w:p>
    <w:tbl>
      <w:tblPr>
        <w:tblStyle w:val="a3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843"/>
        <w:gridCol w:w="2268"/>
        <w:gridCol w:w="2268"/>
      </w:tblGrid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07C52" w:rsidRPr="00512DA4" w:rsidRDefault="00F07C52" w:rsidP="00512DA4">
            <w:pPr>
              <w:pStyle w:val="a6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</w:t>
            </w:r>
          </w:p>
        </w:tc>
        <w:tc>
          <w:tcPr>
            <w:tcW w:w="1701" w:type="dxa"/>
            <w:vAlign w:val="center"/>
          </w:tcPr>
          <w:p w:rsidR="00F07C52" w:rsidRPr="00512DA4" w:rsidRDefault="00F07C52" w:rsidP="00512DA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Адрес потенциального поставщика</w:t>
            </w: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Квалификационные данные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Дата и номер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Наименование подтверждающего документа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6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</w:rPr>
              <w:t xml:space="preserve">Ынсап </w:t>
            </w:r>
            <w:r>
              <w:rPr>
                <w:rFonts w:ascii="Times New Roman" w:hAnsi="Times New Roman"/>
                <w:lang w:val="en-US"/>
              </w:rPr>
              <w:t>KZ</w:t>
            </w:r>
            <w:r w:rsidRPr="002F6D16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F07C52" w:rsidRPr="003D4365" w:rsidRDefault="00F07C52" w:rsidP="00512DA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B4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Павлодарская область,</w:t>
            </w:r>
            <w:r w:rsidR="00512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B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Нур-Султан  </w:t>
            </w:r>
            <w:r w:rsidRPr="00F15B4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Куйши Дина, 17, оф.501 </w:t>
            </w: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Заявка на участие в тендере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Справка о зарегистрированном юридическом лице, филиале или представительстве на русском языке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Уникальный код документа 10100400465780, от 15.04.2020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Справка о зарегистрированном юридическом лице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 xml:space="preserve">Устав ТОО «Ынсап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28.10.2019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 xml:space="preserve">Устав ТОО «Ынсап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Талон о приеме уведомления об изменении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06.04.2020, KZ32UBW00008111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Уведомление о начале или прекращении деятельности по оптовой реализации медицинской техники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Талон о приеме уведомления об изменении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06.04.2020, KZ61UCA00013396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Уведомление о начале или прекращении деятельности по оптовой реализации изделий медицинского назначения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Справка об отсутствия просроченной задолженности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№19-2-4/23378, от 14.04.2020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Справка об отсутствия просроченной задолженности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Сведения о квалификации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Сведения о квалификации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Сертификат соответствия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24.05.2019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KZ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.7100938.07.03.00685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 xml:space="preserve">Системы менеджмента надлежащей дистрибьюторской практики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GDP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. Выдан ТОО «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Biopharm Technology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Сертификат соответствия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24.05.2019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KZ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.7100938.07.03.00684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 xml:space="preserve">Система менеджмента качества ГОСТ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 xml:space="preserve"> 13485-2017. Выдан ТОО «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Biopharm Technology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Договор субаренды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№2, от 05.01.2020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Заключен между ТОО «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Biopharm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Technology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 xml:space="preserve">» и ТОО «Ынсап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» о временном владении и пользованием недвижимым имуществом по г.Нур-Султан, ул. Ак жол, 24/2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Договор о совместной деятельности и отвественности перед третьми лицами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От 01.11.2019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о совместной деятельности и отвественности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Таблица цен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Содержит цену, количество, условия поставки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Сопутствующие услуги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№11, от 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Письмо о сопутствующих услугах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 211, 14.04.2020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Документ, гарантийного обеспечения тендерной заявки в размере 1% - 419 080 тенге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Письмо о соответствии квалификационным требованиям, установленных пунктом 13 Правил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№12, от 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 xml:space="preserve">Подтверждение </w:t>
            </w: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соответствиям квалификационных требований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Письмо об отсутствии аффилированности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№13, от 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Подтверждение отсутствия аффилированности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Письмо о согласии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№14, от 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О согласии на расторжение договора закупа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Договор субаренды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№2, от 05.01.2020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Заключен между ТОО «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Biopharm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Technology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 xml:space="preserve">» и ТОО «Ынсап </w:t>
            </w:r>
            <w:r w:rsidRPr="00512DA4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512DA4">
              <w:rPr>
                <w:rFonts w:ascii="Times New Roman" w:hAnsi="Times New Roman"/>
                <w:sz w:val="20"/>
                <w:szCs w:val="20"/>
              </w:rPr>
              <w:t>» о временном владении и пользованием недвижимым имуществом по г.Нур-Султан, ул. Ак жол, 24/2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Письмо обязательство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</w:rPr>
              <w:t>№15, от 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Обязательство по доставке и хранению товара</w:t>
            </w:r>
          </w:p>
        </w:tc>
      </w:tr>
      <w:tr w:rsidR="00F07C52" w:rsidRPr="00F15B4E" w:rsidTr="00512DA4">
        <w:tc>
          <w:tcPr>
            <w:tcW w:w="562" w:type="dxa"/>
            <w:vAlign w:val="center"/>
          </w:tcPr>
          <w:p w:rsidR="00F07C52" w:rsidRPr="00512DA4" w:rsidRDefault="00F07C52" w:rsidP="0051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D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C52" w:rsidRPr="00F15B4E" w:rsidRDefault="00F07C52" w:rsidP="00F07C5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Техническая спецификация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20.04.2020</w:t>
            </w:r>
          </w:p>
        </w:tc>
        <w:tc>
          <w:tcPr>
            <w:tcW w:w="2268" w:type="dxa"/>
            <w:vAlign w:val="center"/>
          </w:tcPr>
          <w:p w:rsidR="00F07C52" w:rsidRPr="00512DA4" w:rsidRDefault="00F07C52" w:rsidP="00512DA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2DA4">
              <w:rPr>
                <w:rFonts w:ascii="Times New Roman" w:hAnsi="Times New Roman"/>
                <w:sz w:val="20"/>
                <w:szCs w:val="20"/>
                <w:lang w:val="kk-KZ"/>
              </w:rPr>
              <w:t>Описание технических характеристик и комплекта поставки</w:t>
            </w:r>
          </w:p>
        </w:tc>
      </w:tr>
    </w:tbl>
    <w:p w:rsidR="003F2866" w:rsidRPr="006D56A1" w:rsidRDefault="00F15B4E" w:rsidP="00F15B4E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 xml:space="preserve">    </w:t>
      </w:r>
      <w:r w:rsidR="00294DE8" w:rsidRPr="006D56A1">
        <w:rPr>
          <w:rFonts w:ascii="Times New Roman" w:hAnsi="Times New Roman" w:cs="Times New Roman"/>
          <w:sz w:val="24"/>
          <w:szCs w:val="28"/>
        </w:rPr>
        <w:t>Вместе с тем, на основании пункта 80 Правил тендерная комиссия в целях уточнения соответствия потенциальных поставщиков квалифицированным</w:t>
      </w:r>
      <w:r w:rsidR="004A33AA" w:rsidRPr="006D56A1">
        <w:rPr>
          <w:rFonts w:ascii="Times New Roman" w:hAnsi="Times New Roman" w:cs="Times New Roman"/>
          <w:sz w:val="24"/>
          <w:szCs w:val="28"/>
        </w:rPr>
        <w:t xml:space="preserve"> </w:t>
      </w:r>
      <w:r w:rsidR="00294DE8" w:rsidRPr="006D56A1">
        <w:rPr>
          <w:rFonts w:ascii="Times New Roman" w:hAnsi="Times New Roman" w:cs="Times New Roman"/>
          <w:sz w:val="24"/>
          <w:szCs w:val="28"/>
        </w:rPr>
        <w:t>требованиям, рассмотрела инф</w:t>
      </w:r>
      <w:r w:rsidR="00A56155" w:rsidRPr="006D56A1">
        <w:rPr>
          <w:rFonts w:ascii="Times New Roman" w:hAnsi="Times New Roman" w:cs="Times New Roman"/>
          <w:sz w:val="24"/>
          <w:szCs w:val="28"/>
        </w:rPr>
        <w:t>ормацию</w:t>
      </w:r>
      <w:r w:rsidRPr="006D56A1">
        <w:rPr>
          <w:rFonts w:ascii="Times New Roman" w:hAnsi="Times New Roman" w:cs="Times New Roman"/>
          <w:sz w:val="24"/>
          <w:szCs w:val="28"/>
        </w:rPr>
        <w:t>,</w:t>
      </w:r>
      <w:r w:rsidR="00A56155" w:rsidRPr="006D56A1">
        <w:rPr>
          <w:rFonts w:ascii="Times New Roman" w:hAnsi="Times New Roman" w:cs="Times New Roman"/>
          <w:sz w:val="24"/>
          <w:szCs w:val="28"/>
        </w:rPr>
        <w:t xml:space="preserve"> размещенную на </w:t>
      </w:r>
      <w:r w:rsidR="002945F3" w:rsidRPr="006D56A1">
        <w:rPr>
          <w:rFonts w:ascii="Times New Roman" w:hAnsi="Times New Roman" w:cs="Times New Roman"/>
          <w:sz w:val="24"/>
          <w:szCs w:val="28"/>
        </w:rPr>
        <w:t>Интернет-ресурсе</w:t>
      </w:r>
      <w:r w:rsidR="00294DE8" w:rsidRPr="006D56A1">
        <w:rPr>
          <w:rFonts w:ascii="Times New Roman" w:hAnsi="Times New Roman" w:cs="Times New Roman"/>
          <w:sz w:val="24"/>
          <w:szCs w:val="28"/>
        </w:rPr>
        <w:t xml:space="preserve"> уполномоченных органов и установила непричастность потенциальных поставщиков к процедурам банкротства, ликвидации и их отсутствие в перечне недобросовестных поставщиков.</w:t>
      </w:r>
    </w:p>
    <w:p w:rsidR="00294DE8" w:rsidRPr="006D56A1" w:rsidRDefault="00512DA4" w:rsidP="00512DA4">
      <w:pPr>
        <w:spacing w:after="0"/>
        <w:ind w:firstLine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94DE8" w:rsidRPr="006D56A1">
        <w:rPr>
          <w:rFonts w:ascii="Times New Roman" w:hAnsi="Times New Roman" w:cs="Times New Roman"/>
          <w:sz w:val="24"/>
          <w:szCs w:val="28"/>
        </w:rPr>
        <w:t>По итогам рассмотрения представленных табли</w:t>
      </w:r>
      <w:r w:rsidR="004A33AA" w:rsidRPr="006D56A1">
        <w:rPr>
          <w:rFonts w:ascii="Times New Roman" w:hAnsi="Times New Roman" w:cs="Times New Roman"/>
          <w:sz w:val="24"/>
          <w:szCs w:val="28"/>
        </w:rPr>
        <w:t>ц цен потенциальных поставщиков установила ценовые предложения потенциальных поставщиков</w:t>
      </w:r>
      <w:r w:rsidR="002945F3" w:rsidRPr="006D56A1">
        <w:rPr>
          <w:rFonts w:ascii="Times New Roman" w:hAnsi="Times New Roman" w:cs="Times New Roman"/>
          <w:sz w:val="24"/>
          <w:szCs w:val="28"/>
        </w:rPr>
        <w:t>:</w:t>
      </w:r>
    </w:p>
    <w:p w:rsidR="00A01F6C" w:rsidRPr="00F15B4E" w:rsidRDefault="00A01F6C" w:rsidP="00F15B4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5245"/>
      </w:tblGrid>
      <w:tr w:rsidR="00DA7E75" w:rsidTr="00DA7E75">
        <w:tc>
          <w:tcPr>
            <w:tcW w:w="1271" w:type="dxa"/>
            <w:vMerge w:val="restart"/>
          </w:tcPr>
          <w:p w:rsidR="00DA7E75" w:rsidRDefault="00DA7E75" w:rsidP="00DA7E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лота</w:t>
            </w:r>
          </w:p>
          <w:p w:rsidR="00DA7E75" w:rsidRDefault="00DA7E75" w:rsidP="00DA7E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A7E75" w:rsidRDefault="00DA7E75" w:rsidP="00DA7E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Поставщик</w:t>
            </w:r>
          </w:p>
        </w:tc>
      </w:tr>
      <w:tr w:rsidR="00DA7E75" w:rsidTr="00DA7E75">
        <w:tc>
          <w:tcPr>
            <w:tcW w:w="1271" w:type="dxa"/>
            <w:vMerge/>
          </w:tcPr>
          <w:p w:rsidR="00DA7E75" w:rsidRDefault="00DA7E75" w:rsidP="00DA7E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A7E75" w:rsidRPr="00F15B4E" w:rsidRDefault="00DA7E75" w:rsidP="00DA7E7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6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</w:rPr>
              <w:t xml:space="preserve">Ынсап </w:t>
            </w:r>
            <w:r>
              <w:rPr>
                <w:rFonts w:ascii="Times New Roman" w:hAnsi="Times New Roman"/>
                <w:lang w:val="en-US"/>
              </w:rPr>
              <w:t>KZ</w:t>
            </w:r>
            <w:r w:rsidRPr="002F6D16">
              <w:rPr>
                <w:rFonts w:ascii="Times New Roman" w:hAnsi="Times New Roman"/>
              </w:rPr>
              <w:t>»</w:t>
            </w:r>
          </w:p>
        </w:tc>
      </w:tr>
      <w:tr w:rsidR="00DA7E75" w:rsidTr="00DA7E75">
        <w:tc>
          <w:tcPr>
            <w:tcW w:w="1271" w:type="dxa"/>
          </w:tcPr>
          <w:p w:rsidR="00DA7E75" w:rsidRDefault="00DA7E75" w:rsidP="00DA7E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DA7E75" w:rsidRPr="002F6D16" w:rsidRDefault="00DA7E75" w:rsidP="00DA7E75">
            <w:pPr>
              <w:pStyle w:val="a6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41 907 900 тенге</w:t>
            </w:r>
          </w:p>
        </w:tc>
      </w:tr>
    </w:tbl>
    <w:p w:rsidR="003F2866" w:rsidRPr="006D56A1" w:rsidRDefault="00DA7E75" w:rsidP="00A561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textWrapping" w:clear="all"/>
      </w:r>
      <w:r w:rsidR="004A33AA" w:rsidRPr="006D56A1">
        <w:rPr>
          <w:rFonts w:ascii="Times New Roman" w:hAnsi="Times New Roman" w:cs="Times New Roman"/>
          <w:sz w:val="24"/>
          <w:szCs w:val="28"/>
        </w:rPr>
        <w:br w:type="textWrapping" w:clear="all"/>
        <w:t xml:space="preserve">Руководствуясь подпунктом 2 </w:t>
      </w:r>
      <w:r w:rsidR="002945F3" w:rsidRPr="006D56A1">
        <w:rPr>
          <w:rFonts w:ascii="Times New Roman" w:hAnsi="Times New Roman" w:cs="Times New Roman"/>
          <w:sz w:val="24"/>
          <w:szCs w:val="28"/>
        </w:rPr>
        <w:t>пункта 84 Правил и подпунктом 6.</w:t>
      </w:r>
      <w:r w:rsidR="004A33AA" w:rsidRPr="006D56A1">
        <w:rPr>
          <w:rFonts w:ascii="Times New Roman" w:hAnsi="Times New Roman" w:cs="Times New Roman"/>
          <w:sz w:val="24"/>
          <w:szCs w:val="28"/>
        </w:rPr>
        <w:t xml:space="preserve">2 пункта 6 главы 10 раздела тендерной документации «Оценка и сопоставление тендерных заявок» </w:t>
      </w:r>
      <w:r w:rsidR="002945F3" w:rsidRPr="006D56A1">
        <w:rPr>
          <w:rFonts w:ascii="Times New Roman" w:hAnsi="Times New Roman" w:cs="Times New Roman"/>
          <w:sz w:val="24"/>
          <w:szCs w:val="28"/>
        </w:rPr>
        <w:t>тендерная</w:t>
      </w:r>
      <w:r w:rsidR="004A33AA" w:rsidRPr="006D56A1">
        <w:rPr>
          <w:rFonts w:ascii="Times New Roman" w:hAnsi="Times New Roman" w:cs="Times New Roman"/>
          <w:sz w:val="24"/>
          <w:szCs w:val="28"/>
        </w:rPr>
        <w:t xml:space="preserve"> комиссия </w:t>
      </w:r>
      <w:r w:rsidR="004A33AA" w:rsidRPr="00AD3F6C">
        <w:rPr>
          <w:rFonts w:ascii="Times New Roman" w:hAnsi="Times New Roman" w:cs="Times New Roman"/>
          <w:sz w:val="24"/>
          <w:szCs w:val="28"/>
        </w:rPr>
        <w:t>решила:</w:t>
      </w:r>
    </w:p>
    <w:p w:rsidR="002945F3" w:rsidRPr="00AD3F6C" w:rsidRDefault="00DA7E75" w:rsidP="00A771E4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3F6C">
        <w:rPr>
          <w:rFonts w:ascii="Times New Roman" w:hAnsi="Times New Roman" w:cs="Times New Roman"/>
          <w:sz w:val="24"/>
          <w:szCs w:val="28"/>
        </w:rPr>
        <w:t xml:space="preserve"> </w:t>
      </w:r>
      <w:r w:rsidR="004A33AA" w:rsidRPr="00AD3F6C">
        <w:rPr>
          <w:rFonts w:ascii="Times New Roman" w:hAnsi="Times New Roman" w:cs="Times New Roman"/>
          <w:sz w:val="24"/>
          <w:szCs w:val="28"/>
        </w:rPr>
        <w:t xml:space="preserve">Признать </w:t>
      </w:r>
      <w:r w:rsidRPr="00AD3F6C">
        <w:rPr>
          <w:rFonts w:ascii="Times New Roman" w:hAnsi="Times New Roman" w:cs="Times New Roman"/>
          <w:sz w:val="24"/>
          <w:szCs w:val="28"/>
        </w:rPr>
        <w:t>лот</w:t>
      </w:r>
      <w:r w:rsidR="004A33AA" w:rsidRPr="00AD3F6C">
        <w:rPr>
          <w:rFonts w:ascii="Times New Roman" w:hAnsi="Times New Roman" w:cs="Times New Roman"/>
          <w:sz w:val="24"/>
          <w:szCs w:val="28"/>
        </w:rPr>
        <w:t xml:space="preserve"> </w:t>
      </w:r>
      <w:r w:rsidRPr="00AD3F6C">
        <w:rPr>
          <w:rFonts w:ascii="Times New Roman" w:hAnsi="Times New Roman" w:cs="Times New Roman"/>
          <w:sz w:val="24"/>
          <w:szCs w:val="28"/>
        </w:rPr>
        <w:t xml:space="preserve">1 </w:t>
      </w:r>
      <w:r w:rsidR="004A33AA" w:rsidRPr="00AD3F6C">
        <w:rPr>
          <w:rFonts w:ascii="Times New Roman" w:hAnsi="Times New Roman" w:cs="Times New Roman"/>
          <w:sz w:val="24"/>
          <w:szCs w:val="28"/>
        </w:rPr>
        <w:t>несост</w:t>
      </w:r>
      <w:r w:rsidR="00203657" w:rsidRPr="00AD3F6C">
        <w:rPr>
          <w:rFonts w:ascii="Times New Roman" w:hAnsi="Times New Roman" w:cs="Times New Roman"/>
          <w:sz w:val="24"/>
          <w:szCs w:val="28"/>
        </w:rPr>
        <w:t xml:space="preserve">оявшимся в связи с </w:t>
      </w:r>
      <w:r w:rsidR="00F15B4E" w:rsidRPr="00AD3F6C">
        <w:rPr>
          <w:rFonts w:ascii="Times New Roman" w:hAnsi="Times New Roman" w:cs="Times New Roman"/>
          <w:sz w:val="24"/>
          <w:szCs w:val="28"/>
        </w:rPr>
        <w:t>представлени</w:t>
      </w:r>
      <w:r w:rsidR="00203657" w:rsidRPr="00AD3F6C">
        <w:rPr>
          <w:rFonts w:ascii="Times New Roman" w:hAnsi="Times New Roman" w:cs="Times New Roman"/>
          <w:sz w:val="24"/>
          <w:szCs w:val="28"/>
        </w:rPr>
        <w:t>ем менее двух тендерных заявок.</w:t>
      </w:r>
    </w:p>
    <w:p w:rsidR="00203657" w:rsidRPr="006D56A1" w:rsidRDefault="00A56155" w:rsidP="00F15B4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 xml:space="preserve"> </w:t>
      </w:r>
      <w:r w:rsidR="00203657" w:rsidRPr="006D56A1">
        <w:rPr>
          <w:rFonts w:ascii="Times New Roman" w:hAnsi="Times New Roman" w:cs="Times New Roman"/>
          <w:sz w:val="24"/>
          <w:szCs w:val="28"/>
        </w:rPr>
        <w:t xml:space="preserve">Руководствуясь   пункта 83 Правил   пункта 5 главы 10 раздела тендерной документации «Оценка и сопоставление тендерных заявок» тендерная комиссия </w:t>
      </w:r>
      <w:r w:rsidR="00203657" w:rsidRPr="006D56A1">
        <w:rPr>
          <w:rFonts w:ascii="Times New Roman" w:hAnsi="Times New Roman" w:cs="Times New Roman"/>
          <w:b/>
          <w:sz w:val="24"/>
          <w:szCs w:val="28"/>
        </w:rPr>
        <w:t>решила</w:t>
      </w:r>
      <w:r w:rsidR="00203657" w:rsidRPr="006D56A1">
        <w:rPr>
          <w:rFonts w:ascii="Times New Roman" w:hAnsi="Times New Roman" w:cs="Times New Roman"/>
          <w:sz w:val="24"/>
          <w:szCs w:val="28"/>
        </w:rPr>
        <w:t>:</w:t>
      </w:r>
    </w:p>
    <w:p w:rsidR="005C501B" w:rsidRPr="006D56A1" w:rsidRDefault="00F15B4E" w:rsidP="005C501B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 xml:space="preserve">    </w:t>
      </w:r>
      <w:r w:rsidR="00203657" w:rsidRPr="006D56A1">
        <w:rPr>
          <w:rFonts w:ascii="Times New Roman" w:hAnsi="Times New Roman" w:cs="Times New Roman"/>
          <w:sz w:val="24"/>
          <w:szCs w:val="28"/>
        </w:rPr>
        <w:t>В свя</w:t>
      </w:r>
      <w:r w:rsidR="00DA7E75">
        <w:rPr>
          <w:rFonts w:ascii="Times New Roman" w:hAnsi="Times New Roman" w:cs="Times New Roman"/>
          <w:sz w:val="24"/>
          <w:szCs w:val="28"/>
        </w:rPr>
        <w:t>зи с признанием лота № 1</w:t>
      </w:r>
      <w:r w:rsidR="00203657" w:rsidRPr="006D56A1">
        <w:rPr>
          <w:rFonts w:ascii="Times New Roman" w:hAnsi="Times New Roman" w:cs="Times New Roman"/>
          <w:sz w:val="24"/>
          <w:szCs w:val="28"/>
        </w:rPr>
        <w:t xml:space="preserve"> </w:t>
      </w:r>
      <w:r w:rsidR="00203657" w:rsidRPr="00AD3F6C">
        <w:rPr>
          <w:rFonts w:ascii="Times New Roman" w:hAnsi="Times New Roman" w:cs="Times New Roman"/>
          <w:sz w:val="24"/>
          <w:szCs w:val="28"/>
        </w:rPr>
        <w:t xml:space="preserve">тендера </w:t>
      </w:r>
      <w:r w:rsidR="00DA7E75" w:rsidRPr="00AD3F6C">
        <w:rPr>
          <w:rFonts w:ascii="Times New Roman" w:eastAsia="Times New Roman" w:hAnsi="Times New Roman"/>
          <w:bCs/>
          <w:color w:val="000000"/>
          <w:sz w:val="24"/>
          <w:szCs w:val="24"/>
        </w:rPr>
        <w:t>по закупу</w:t>
      </w:r>
      <w:r w:rsidR="00DA7E75" w:rsidRPr="00AD3F6C">
        <w:rPr>
          <w:rFonts w:ascii="Times New Roman" w:hAnsi="Times New Roman"/>
          <w:sz w:val="28"/>
          <w:szCs w:val="28"/>
        </w:rPr>
        <w:t xml:space="preserve"> </w:t>
      </w:r>
      <w:r w:rsidR="00DA7E75" w:rsidRPr="00AD3F6C">
        <w:rPr>
          <w:rFonts w:ascii="Times New Roman" w:hAnsi="Times New Roman"/>
          <w:szCs w:val="28"/>
        </w:rPr>
        <w:t>реагентов с принадлежностями к диагностическому оборудованию Сэлл Скан 100 в комплекте на 2020 год</w:t>
      </w:r>
      <w:r w:rsidR="00203657" w:rsidRPr="006D56A1">
        <w:rPr>
          <w:rFonts w:ascii="Times New Roman" w:eastAsia="Times New Roman" w:hAnsi="Times New Roman" w:cs="Times New Roman"/>
          <w:sz w:val="24"/>
          <w:szCs w:val="28"/>
          <w:lang w:eastAsia="ru-RU"/>
        </w:rPr>
        <w:t>, не состоявшимся, осуществить закуп способом из одного источника у потенциального поставщика, подавшего данную заявку.</w:t>
      </w:r>
    </w:p>
    <w:p w:rsidR="00203657" w:rsidRPr="006D56A1" w:rsidRDefault="005C501B" w:rsidP="005C501B">
      <w:pPr>
        <w:pStyle w:val="a8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>Протокол об итогах тендера размещается на интернет–ресурсе заказчика или организатора закупа.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</w:t>
      </w:r>
      <w:r w:rsidR="00203657" w:rsidRPr="006D56A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03657" w:rsidRPr="006D56A1" w:rsidRDefault="005C501B" w:rsidP="00DA7E7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>Заказчик в течение пяти календарных дней со дня подведения итогов</w:t>
      </w:r>
      <w:r w:rsidR="00DA7E75">
        <w:rPr>
          <w:rFonts w:ascii="Times New Roman" w:hAnsi="Times New Roman" w:cs="Times New Roman"/>
          <w:sz w:val="24"/>
          <w:szCs w:val="28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тендера либо получения итогов закупа от организатора закупа направляет</w:t>
      </w:r>
      <w:r w:rsidR="00DA7E75">
        <w:rPr>
          <w:rFonts w:ascii="Times New Roman" w:hAnsi="Times New Roman" w:cs="Times New Roman"/>
          <w:sz w:val="24"/>
          <w:szCs w:val="28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потенциальному поставщику подписанный договор закупа или договор на</w:t>
      </w:r>
      <w:r w:rsidR="00DA7E75">
        <w:rPr>
          <w:rFonts w:ascii="Times New Roman" w:hAnsi="Times New Roman" w:cs="Times New Roman"/>
          <w:sz w:val="24"/>
          <w:szCs w:val="28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оказание фармацевтических услуг, составляемый по формам, утвержденным</w:t>
      </w:r>
      <w:r w:rsidR="00DA7E75">
        <w:rPr>
          <w:rFonts w:ascii="Times New Roman" w:hAnsi="Times New Roman" w:cs="Times New Roman"/>
          <w:sz w:val="24"/>
          <w:szCs w:val="28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уполномоченным органом в области здравоохранения</w:t>
      </w:r>
      <w:r w:rsidR="00203657" w:rsidRPr="006D56A1">
        <w:rPr>
          <w:rFonts w:ascii="Times New Roman" w:hAnsi="Times New Roman" w:cs="Times New Roman"/>
          <w:sz w:val="24"/>
          <w:szCs w:val="28"/>
        </w:rPr>
        <w:t>.</w:t>
      </w:r>
    </w:p>
    <w:p w:rsidR="00ED3300" w:rsidRPr="006D56A1" w:rsidRDefault="00A56155" w:rsidP="00A56155">
      <w:pPr>
        <w:pStyle w:val="a8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D56A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A56155" w:rsidRPr="006D56A1" w:rsidRDefault="00A56155" w:rsidP="00AD3F6C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D56A1">
        <w:rPr>
          <w:rFonts w:ascii="Times New Roman" w:eastAsia="Calibri" w:hAnsi="Times New Roman" w:cs="Times New Roman"/>
          <w:b/>
          <w:sz w:val="24"/>
          <w:szCs w:val="28"/>
        </w:rPr>
        <w:t>Председатель тендерной комиссии:</w:t>
      </w:r>
      <w:r w:rsidR="00AD3F6C">
        <w:rPr>
          <w:rFonts w:ascii="Times New Roman" w:eastAsia="Calibri" w:hAnsi="Times New Roman" w:cs="Times New Roman"/>
          <w:b/>
          <w:sz w:val="24"/>
          <w:szCs w:val="28"/>
        </w:rPr>
        <w:t xml:space="preserve">     </w:t>
      </w:r>
      <w:r w:rsidRPr="006D56A1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Альгожин Т.Б.</w:t>
      </w:r>
    </w:p>
    <w:p w:rsidR="00A56155" w:rsidRPr="006D56A1" w:rsidRDefault="00A56155" w:rsidP="00A56155">
      <w:pPr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  <w:r w:rsidRPr="006D56A1">
        <w:rPr>
          <w:rFonts w:ascii="Times New Roman" w:eastAsia="Calibri" w:hAnsi="Times New Roman" w:cs="Times New Roman"/>
          <w:b/>
          <w:sz w:val="24"/>
          <w:szCs w:val="28"/>
        </w:rPr>
        <w:lastRenderedPageBreak/>
        <w:t>Члены тендерной комиссии                                             Ибраимова Ш.Ж.</w:t>
      </w:r>
    </w:p>
    <w:p w:rsidR="00A56155" w:rsidRPr="006D56A1" w:rsidRDefault="00A56155" w:rsidP="00DA7E75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="00DA7E75">
        <w:rPr>
          <w:rFonts w:ascii="Times New Roman" w:hAnsi="Times New Roman" w:cs="Times New Roman"/>
          <w:b/>
          <w:sz w:val="24"/>
          <w:szCs w:val="28"/>
        </w:rPr>
        <w:t>Мукушева А.Х.</w:t>
      </w:r>
    </w:p>
    <w:p w:rsidR="00A56155" w:rsidRPr="006D56A1" w:rsidRDefault="00A56155" w:rsidP="00A56155">
      <w:pPr>
        <w:pStyle w:val="HTML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56155" w:rsidRPr="006D56A1" w:rsidRDefault="00A56155" w:rsidP="00A56155">
      <w:pPr>
        <w:pStyle w:val="HTML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D56A1">
        <w:rPr>
          <w:rFonts w:ascii="Times New Roman" w:hAnsi="Times New Roman" w:cs="Times New Roman"/>
          <w:b/>
          <w:sz w:val="24"/>
          <w:szCs w:val="28"/>
        </w:rPr>
        <w:t>Секретарь тендерной комиссии                                      Дробкова О.М.</w:t>
      </w:r>
    </w:p>
    <w:p w:rsidR="00A56155" w:rsidRPr="006D56A1" w:rsidRDefault="00A56155" w:rsidP="006F3404">
      <w:pPr>
        <w:rPr>
          <w:rFonts w:ascii="Times New Roman" w:eastAsia="Calibri" w:hAnsi="Times New Roman" w:cs="Times New Roman"/>
          <w:b/>
          <w:sz w:val="24"/>
          <w:szCs w:val="28"/>
        </w:rPr>
      </w:pPr>
    </w:p>
    <w:p w:rsidR="00A56155" w:rsidRPr="00F15B4E" w:rsidRDefault="00A56155" w:rsidP="006F340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15B4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1B184C" w:rsidRDefault="001B184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84C" w:rsidRDefault="001B184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45E" w:rsidRDefault="004B245E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56A1" w:rsidRDefault="006D56A1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F6C" w:rsidRDefault="00AD3F6C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8B3" w:rsidRPr="002F6275" w:rsidRDefault="00AC48B3" w:rsidP="00AC48B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C1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 Р О Т О К О Л</w:t>
      </w:r>
      <w:r w:rsidR="005C5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512D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</w:p>
    <w:p w:rsidR="00512DA4" w:rsidRPr="00F15B4E" w:rsidRDefault="00512DA4" w:rsidP="00512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5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итогов тендер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</w:t>
      </w:r>
      <w:r w:rsidRPr="00BB35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 закупу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реагентов с принадлежностями к диагностическому оборудованию Сэлл Скан 100 в комплекте на 2020 год</w:t>
      </w:r>
    </w:p>
    <w:p w:rsidR="00AC48B3" w:rsidRPr="00CC1491" w:rsidRDefault="00AC48B3" w:rsidP="00AC4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Павлодар                                                                                  </w:t>
      </w:r>
      <w:r w:rsidR="0051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11.05</w:t>
      </w:r>
      <w:r w:rsidR="00A04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C1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2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C1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56155" w:rsidRPr="00CC1491" w:rsidRDefault="00A56155" w:rsidP="00F20673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8828F1" w:rsidRPr="006D56A1" w:rsidRDefault="0006239B" w:rsidP="008828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6D56A1">
        <w:rPr>
          <w:rFonts w:ascii="Times New Roman" w:eastAsia="Calibri" w:hAnsi="Times New Roman"/>
          <w:sz w:val="24"/>
          <w:szCs w:val="28"/>
        </w:rPr>
        <w:t xml:space="preserve">          </w:t>
      </w:r>
      <w:r w:rsidR="00AC48B3" w:rsidRPr="006D56A1">
        <w:rPr>
          <w:rFonts w:ascii="Times New Roman" w:eastAsia="Calibri" w:hAnsi="Times New Roman"/>
          <w:sz w:val="24"/>
          <w:szCs w:val="28"/>
        </w:rPr>
        <w:t>Организатор тендера КГП на ПХВ «</w:t>
      </w:r>
      <w:r w:rsidR="00AC48B3" w:rsidRPr="006D56A1">
        <w:rPr>
          <w:rFonts w:ascii="Times New Roman" w:hAnsi="Times New Roman"/>
          <w:sz w:val="24"/>
          <w:szCs w:val="28"/>
        </w:rPr>
        <w:t>Павлодарский областной онкологический диспансер</w:t>
      </w:r>
      <w:r w:rsidR="00AC48B3" w:rsidRPr="006D56A1">
        <w:rPr>
          <w:rFonts w:ascii="Times New Roman" w:eastAsia="Calibri" w:hAnsi="Times New Roman"/>
          <w:sz w:val="24"/>
          <w:szCs w:val="28"/>
        </w:rPr>
        <w:t xml:space="preserve">» </w:t>
      </w:r>
      <w:r w:rsidR="00AC48B3" w:rsidRPr="006D56A1">
        <w:rPr>
          <w:rFonts w:ascii="Times New Roman" w:hAnsi="Times New Roman"/>
          <w:sz w:val="24"/>
          <w:szCs w:val="28"/>
        </w:rPr>
        <w:t xml:space="preserve"> на основании подпункта 1) пункта 116, пункта 124 Правил организации и проведения закупа </w:t>
      </w:r>
      <w:r w:rsidR="00AC48B3" w:rsidRPr="006D56A1">
        <w:rPr>
          <w:rFonts w:ascii="Times New Roman" w:hAnsi="Times New Roman"/>
          <w:sz w:val="24"/>
        </w:rPr>
        <w:t>лекарственных средств, профилактических (иммунобиологических, диагностических, дезинфицирующих) препаратов, изделий медици</w:t>
      </w:r>
      <w:r w:rsidR="008828F1" w:rsidRPr="006D56A1">
        <w:rPr>
          <w:rFonts w:ascii="Times New Roman" w:hAnsi="Times New Roman"/>
          <w:sz w:val="24"/>
        </w:rPr>
        <w:t>нского назначения и медицинской техники, фармацевтических</w:t>
      </w:r>
      <w:r w:rsidR="008828F1" w:rsidRPr="006D56A1">
        <w:rPr>
          <w:rFonts w:ascii="Times New Roman" w:hAnsi="Times New Roman"/>
          <w:sz w:val="32"/>
          <w:szCs w:val="28"/>
        </w:rPr>
        <w:t xml:space="preserve"> </w:t>
      </w:r>
      <w:r w:rsidR="008828F1" w:rsidRPr="006D56A1">
        <w:rPr>
          <w:rFonts w:ascii="Times New Roman" w:hAnsi="Times New Roman"/>
          <w:sz w:val="24"/>
          <w:szCs w:val="28"/>
        </w:rPr>
        <w:t>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утвержденного Постановлением правительства республики Казахстан от 30 октября 2009 года № 1729, в связи с представлением менее двух тендерных заявок, принял решение об осуществлении закупа способом из одного источника, по следующим лотам №</w:t>
      </w:r>
      <w:r w:rsidR="00512DA4">
        <w:rPr>
          <w:rFonts w:ascii="Times New Roman" w:hAnsi="Times New Roman"/>
          <w:sz w:val="24"/>
          <w:szCs w:val="28"/>
        </w:rPr>
        <w:t>1.</w:t>
      </w:r>
    </w:p>
    <w:p w:rsidR="008828F1" w:rsidRPr="006D56A1" w:rsidRDefault="008828F1" w:rsidP="00AD3F6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D56A1">
        <w:rPr>
          <w:rFonts w:ascii="Times New Roman" w:hAnsi="Times New Roman"/>
          <w:sz w:val="24"/>
          <w:szCs w:val="28"/>
        </w:rPr>
        <w:t xml:space="preserve">        Организатор закупа, рассмотрев представленные ценовые предложения, согласие на участие </w:t>
      </w:r>
      <w:r w:rsidR="00AD3F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AD3F6C" w:rsidRPr="00BB35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AD3F6C" w:rsidRPr="00AD3F6C">
        <w:rPr>
          <w:rFonts w:ascii="Times New Roman" w:eastAsia="Times New Roman" w:hAnsi="Times New Roman"/>
          <w:bCs/>
          <w:color w:val="000000"/>
          <w:sz w:val="24"/>
          <w:szCs w:val="24"/>
        </w:rPr>
        <w:t>в</w:t>
      </w:r>
      <w:r w:rsidR="00AD3F6C" w:rsidRPr="00AD3F6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закупу</w:t>
      </w:r>
      <w:r w:rsidR="00AD3F6C" w:rsidRPr="00AD3F6C">
        <w:rPr>
          <w:rFonts w:ascii="Times New Roman" w:hAnsi="Times New Roman"/>
          <w:sz w:val="28"/>
          <w:szCs w:val="28"/>
        </w:rPr>
        <w:t xml:space="preserve"> </w:t>
      </w:r>
      <w:r w:rsidR="00AD3F6C" w:rsidRPr="00AD3F6C">
        <w:rPr>
          <w:rFonts w:ascii="Times New Roman" w:hAnsi="Times New Roman"/>
          <w:szCs w:val="28"/>
        </w:rPr>
        <w:t>реагентов с принадлежностями к диагностическому оборудованию Сэлл Скан 100 в комплекте на 2020 год</w:t>
      </w:r>
      <w:r w:rsidRPr="006D56A1">
        <w:rPr>
          <w:rFonts w:ascii="Times New Roman" w:hAnsi="Times New Roman"/>
          <w:sz w:val="24"/>
          <w:szCs w:val="28"/>
        </w:rPr>
        <w:t xml:space="preserve">, принял решение, заключить договор закупа с потенциальным поставщиком </w:t>
      </w:r>
      <w:r w:rsidR="00AD3F6C" w:rsidRPr="002F6D16">
        <w:rPr>
          <w:rFonts w:ascii="Times New Roman" w:hAnsi="Times New Roman"/>
        </w:rPr>
        <w:t>ТОО «</w:t>
      </w:r>
      <w:r w:rsidR="00AD3F6C">
        <w:rPr>
          <w:rFonts w:ascii="Times New Roman" w:hAnsi="Times New Roman"/>
        </w:rPr>
        <w:t xml:space="preserve">Ынсап </w:t>
      </w:r>
      <w:r w:rsidR="00AD3F6C">
        <w:rPr>
          <w:rFonts w:ascii="Times New Roman" w:hAnsi="Times New Roman"/>
          <w:lang w:val="en-US"/>
        </w:rPr>
        <w:t>KZ</w:t>
      </w:r>
      <w:r w:rsidR="00AD3F6C" w:rsidRPr="002F6D16">
        <w:rPr>
          <w:rFonts w:ascii="Times New Roman" w:hAnsi="Times New Roman"/>
        </w:rPr>
        <w:t>»</w:t>
      </w:r>
      <w:r w:rsidR="00AD3F6C" w:rsidRPr="00AD3F6C">
        <w:rPr>
          <w:rFonts w:ascii="Times New Roman" w:hAnsi="Times New Roman" w:cs="Times New Roman"/>
          <w:sz w:val="24"/>
          <w:szCs w:val="24"/>
        </w:rPr>
        <w:t xml:space="preserve"> </w:t>
      </w:r>
      <w:r w:rsidR="00AD3F6C">
        <w:rPr>
          <w:rFonts w:ascii="Times New Roman" w:hAnsi="Times New Roman" w:cs="Times New Roman"/>
          <w:sz w:val="24"/>
          <w:szCs w:val="24"/>
        </w:rPr>
        <w:t xml:space="preserve">Республика Казахстан, </w:t>
      </w:r>
      <w:r w:rsidR="00AD3F6C">
        <w:rPr>
          <w:rFonts w:ascii="Times New Roman" w:hAnsi="Times New Roman" w:cs="Times New Roman"/>
          <w:sz w:val="24"/>
          <w:szCs w:val="24"/>
        </w:rPr>
        <w:t xml:space="preserve">Павлодарская область, </w:t>
      </w:r>
      <w:r w:rsidR="00AD3F6C" w:rsidRPr="00F15B4E">
        <w:rPr>
          <w:rFonts w:ascii="Times New Roman" w:hAnsi="Times New Roman" w:cs="Times New Roman"/>
          <w:sz w:val="24"/>
          <w:szCs w:val="24"/>
        </w:rPr>
        <w:t>г.</w:t>
      </w:r>
      <w:r w:rsidR="00AD3F6C">
        <w:rPr>
          <w:rFonts w:ascii="Times New Roman" w:hAnsi="Times New Roman" w:cs="Times New Roman"/>
          <w:sz w:val="24"/>
          <w:szCs w:val="24"/>
        </w:rPr>
        <w:t xml:space="preserve">Нур-Султан  </w:t>
      </w:r>
      <w:r w:rsidR="00AD3F6C" w:rsidRPr="00F15B4E">
        <w:rPr>
          <w:rFonts w:ascii="Times New Roman" w:hAnsi="Times New Roman" w:cs="Times New Roman"/>
          <w:sz w:val="24"/>
          <w:szCs w:val="24"/>
        </w:rPr>
        <w:t xml:space="preserve">, ул. </w:t>
      </w:r>
      <w:r w:rsidR="00AD3F6C">
        <w:rPr>
          <w:rFonts w:ascii="Times New Roman" w:hAnsi="Times New Roman" w:cs="Times New Roman"/>
          <w:sz w:val="24"/>
          <w:szCs w:val="24"/>
        </w:rPr>
        <w:t>Куйши Дина, 17, оф.501</w:t>
      </w:r>
      <w:r w:rsidR="00AD3F6C">
        <w:rPr>
          <w:rFonts w:ascii="Times New Roman" w:hAnsi="Times New Roman" w:cs="Times New Roman"/>
          <w:sz w:val="24"/>
          <w:szCs w:val="24"/>
        </w:rPr>
        <w:t>.</w:t>
      </w:r>
    </w:p>
    <w:p w:rsidR="008828F1" w:rsidRPr="006D56A1" w:rsidRDefault="008828F1" w:rsidP="00F85FBC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 xml:space="preserve">Протокол об итогах тендера размещается на интернет–ресурсе заказчика или организатора закупа.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победителя. </w:t>
      </w:r>
    </w:p>
    <w:p w:rsidR="008828F1" w:rsidRPr="006D56A1" w:rsidRDefault="008828F1" w:rsidP="006A4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D56A1">
        <w:rPr>
          <w:rFonts w:ascii="Times New Roman" w:hAnsi="Times New Roman" w:cs="Times New Roman"/>
          <w:sz w:val="24"/>
          <w:szCs w:val="28"/>
        </w:rPr>
        <w:t>Заказчик в течение пяти календарных дней со дня подведения итогов</w:t>
      </w:r>
      <w:r w:rsidR="00F85FBC" w:rsidRPr="006D56A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тендера либо получения итогов закупа от организатора закупа направляет</w:t>
      </w:r>
      <w:r w:rsidR="00F85FBC" w:rsidRPr="006D56A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потенциальному поставщику подписанный договор закупа или договор на</w:t>
      </w:r>
      <w:r w:rsidR="00F85FBC" w:rsidRPr="006D56A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оказание фармацевтических услуг, составляемый по формам, утвержденным</w:t>
      </w:r>
      <w:r w:rsidR="006A4D94" w:rsidRPr="006D56A1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D56A1">
        <w:rPr>
          <w:rFonts w:ascii="Times New Roman" w:hAnsi="Times New Roman" w:cs="Times New Roman"/>
          <w:sz w:val="24"/>
          <w:szCs w:val="28"/>
        </w:rPr>
        <w:t>уполномоченным органом в области здравоохранения.</w:t>
      </w:r>
    </w:p>
    <w:p w:rsidR="0006239B" w:rsidRPr="006D56A1" w:rsidRDefault="00AE2B52" w:rsidP="008828F1">
      <w:pPr>
        <w:pStyle w:val="ac"/>
        <w:jc w:val="both"/>
        <w:rPr>
          <w:rFonts w:ascii="Times New Roman" w:hAnsi="Times New Roman"/>
          <w:sz w:val="24"/>
          <w:szCs w:val="28"/>
        </w:rPr>
      </w:pPr>
      <w:r w:rsidRPr="006D56A1">
        <w:rPr>
          <w:rFonts w:ascii="Times New Roman" w:hAnsi="Times New Roman"/>
          <w:sz w:val="24"/>
        </w:rPr>
        <w:t xml:space="preserve">                                  </w:t>
      </w:r>
      <w:r w:rsidR="00A84486" w:rsidRPr="006D56A1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39B" w:rsidRPr="006D56A1" w:rsidRDefault="0006239B" w:rsidP="00F2067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C1491" w:rsidRPr="006D56A1" w:rsidRDefault="00CC1491" w:rsidP="00F2067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D56A1">
        <w:rPr>
          <w:rFonts w:ascii="Times New Roman" w:hAnsi="Times New Roman" w:cs="Times New Roman"/>
          <w:b/>
          <w:sz w:val="24"/>
          <w:szCs w:val="28"/>
        </w:rPr>
        <w:t>Директор КГП на ПХВ «ПООД»                                 Сулейменов М.К.</w:t>
      </w:r>
    </w:p>
    <w:p w:rsidR="00F54B59" w:rsidRPr="006D56A1" w:rsidRDefault="00F54B59" w:rsidP="00F20673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F15B4E" w:rsidRPr="006D56A1" w:rsidRDefault="000125E8" w:rsidP="00463BC0">
      <w:pPr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D56A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      </w:t>
      </w:r>
    </w:p>
    <w:p w:rsidR="006D56A1" w:rsidRDefault="006D56A1" w:rsidP="0069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D56A1" w:rsidRDefault="006D56A1" w:rsidP="0069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D56A1" w:rsidRDefault="006D56A1" w:rsidP="0069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D56A1" w:rsidRDefault="006D56A1" w:rsidP="0069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D56A1" w:rsidRDefault="006D56A1" w:rsidP="0069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D56A1" w:rsidRDefault="006D56A1" w:rsidP="0069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964CD" w:rsidRPr="00B25519" w:rsidRDefault="00AD3F6C" w:rsidP="00B25519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FD1DFC" w:rsidRPr="001058F4" w:rsidRDefault="00FD1DFC" w:rsidP="00B310CC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sectPr w:rsidR="00FD1DFC" w:rsidRPr="001058F4" w:rsidSect="001F5F0A">
      <w:pgSz w:w="11906" w:h="16838"/>
      <w:pgMar w:top="1529" w:right="707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A6" w:rsidRDefault="00F874A6" w:rsidP="00A37214">
      <w:pPr>
        <w:spacing w:after="0" w:line="240" w:lineRule="auto"/>
      </w:pPr>
      <w:r>
        <w:separator/>
      </w:r>
    </w:p>
  </w:endnote>
  <w:endnote w:type="continuationSeparator" w:id="0">
    <w:p w:rsidR="00F874A6" w:rsidRDefault="00F874A6" w:rsidP="00A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A6" w:rsidRDefault="00F874A6" w:rsidP="00A37214">
      <w:pPr>
        <w:spacing w:after="0" w:line="240" w:lineRule="auto"/>
      </w:pPr>
      <w:r>
        <w:separator/>
      </w:r>
    </w:p>
  </w:footnote>
  <w:footnote w:type="continuationSeparator" w:id="0">
    <w:p w:rsidR="00F874A6" w:rsidRDefault="00F874A6" w:rsidP="00A37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7768"/>
    <w:multiLevelType w:val="hybridMultilevel"/>
    <w:tmpl w:val="8A4A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4D50"/>
    <w:multiLevelType w:val="hybridMultilevel"/>
    <w:tmpl w:val="9EA0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70F2"/>
    <w:multiLevelType w:val="hybridMultilevel"/>
    <w:tmpl w:val="61DA8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4BCD"/>
    <w:multiLevelType w:val="hybridMultilevel"/>
    <w:tmpl w:val="F0709AAC"/>
    <w:lvl w:ilvl="0" w:tplc="5A58396A">
      <w:start w:val="80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D4E7E"/>
    <w:multiLevelType w:val="hybridMultilevel"/>
    <w:tmpl w:val="FE8E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73E5"/>
    <w:multiLevelType w:val="hybridMultilevel"/>
    <w:tmpl w:val="FE8E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3BF9"/>
    <w:multiLevelType w:val="hybridMultilevel"/>
    <w:tmpl w:val="4DE01790"/>
    <w:lvl w:ilvl="0" w:tplc="7D38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80419"/>
    <w:multiLevelType w:val="hybridMultilevel"/>
    <w:tmpl w:val="D51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71593"/>
    <w:multiLevelType w:val="hybridMultilevel"/>
    <w:tmpl w:val="E866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77FF"/>
    <w:multiLevelType w:val="hybridMultilevel"/>
    <w:tmpl w:val="DE7E43D6"/>
    <w:lvl w:ilvl="0" w:tplc="CBC252D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422"/>
    <w:multiLevelType w:val="hybridMultilevel"/>
    <w:tmpl w:val="26CE31E4"/>
    <w:lvl w:ilvl="0" w:tplc="DE20EAAA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346C3"/>
    <w:multiLevelType w:val="hybridMultilevel"/>
    <w:tmpl w:val="B6E609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97A8A"/>
    <w:multiLevelType w:val="hybridMultilevel"/>
    <w:tmpl w:val="990AA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31E4C"/>
    <w:multiLevelType w:val="hybridMultilevel"/>
    <w:tmpl w:val="7284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C794F"/>
    <w:multiLevelType w:val="multilevel"/>
    <w:tmpl w:val="7FAC8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D9710FC"/>
    <w:multiLevelType w:val="hybridMultilevel"/>
    <w:tmpl w:val="FD22B7E2"/>
    <w:lvl w:ilvl="0" w:tplc="E50EED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9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04"/>
    <w:rsid w:val="0000726E"/>
    <w:rsid w:val="00007FE7"/>
    <w:rsid w:val="000125E8"/>
    <w:rsid w:val="000253DA"/>
    <w:rsid w:val="00027665"/>
    <w:rsid w:val="00030AA1"/>
    <w:rsid w:val="00046C3F"/>
    <w:rsid w:val="00050367"/>
    <w:rsid w:val="00053120"/>
    <w:rsid w:val="0006239B"/>
    <w:rsid w:val="000623C8"/>
    <w:rsid w:val="00062FAF"/>
    <w:rsid w:val="000656D6"/>
    <w:rsid w:val="00082D78"/>
    <w:rsid w:val="00083DEF"/>
    <w:rsid w:val="000877D0"/>
    <w:rsid w:val="000A2EC4"/>
    <w:rsid w:val="000B28A2"/>
    <w:rsid w:val="000C344D"/>
    <w:rsid w:val="000C7C17"/>
    <w:rsid w:val="000E3B3D"/>
    <w:rsid w:val="000F3E63"/>
    <w:rsid w:val="001058F4"/>
    <w:rsid w:val="00114435"/>
    <w:rsid w:val="00127DC6"/>
    <w:rsid w:val="00130320"/>
    <w:rsid w:val="00136EBF"/>
    <w:rsid w:val="00156F6E"/>
    <w:rsid w:val="0016150D"/>
    <w:rsid w:val="00183D13"/>
    <w:rsid w:val="00190DC6"/>
    <w:rsid w:val="00191B02"/>
    <w:rsid w:val="001960E3"/>
    <w:rsid w:val="001A1B92"/>
    <w:rsid w:val="001A5A2E"/>
    <w:rsid w:val="001B184C"/>
    <w:rsid w:val="001B3527"/>
    <w:rsid w:val="001B3794"/>
    <w:rsid w:val="001C0B5F"/>
    <w:rsid w:val="001D42EA"/>
    <w:rsid w:val="001D628C"/>
    <w:rsid w:val="001F5F0A"/>
    <w:rsid w:val="001F611D"/>
    <w:rsid w:val="00203657"/>
    <w:rsid w:val="00212AB5"/>
    <w:rsid w:val="00222774"/>
    <w:rsid w:val="00223FC6"/>
    <w:rsid w:val="0022628C"/>
    <w:rsid w:val="00232029"/>
    <w:rsid w:val="002361B5"/>
    <w:rsid w:val="00237D40"/>
    <w:rsid w:val="00244EA8"/>
    <w:rsid w:val="0024723E"/>
    <w:rsid w:val="002544CC"/>
    <w:rsid w:val="00256E1A"/>
    <w:rsid w:val="00260433"/>
    <w:rsid w:val="002807EA"/>
    <w:rsid w:val="002945F3"/>
    <w:rsid w:val="00294873"/>
    <w:rsid w:val="00294DE8"/>
    <w:rsid w:val="002A228C"/>
    <w:rsid w:val="002A2F5C"/>
    <w:rsid w:val="002C7E74"/>
    <w:rsid w:val="002D0E35"/>
    <w:rsid w:val="002E39EF"/>
    <w:rsid w:val="002F6275"/>
    <w:rsid w:val="00305736"/>
    <w:rsid w:val="003101E7"/>
    <w:rsid w:val="00311CC1"/>
    <w:rsid w:val="003169A1"/>
    <w:rsid w:val="00334E25"/>
    <w:rsid w:val="0034582F"/>
    <w:rsid w:val="0036459F"/>
    <w:rsid w:val="00365B24"/>
    <w:rsid w:val="00377A36"/>
    <w:rsid w:val="00386966"/>
    <w:rsid w:val="003915B2"/>
    <w:rsid w:val="00392799"/>
    <w:rsid w:val="003A6AE2"/>
    <w:rsid w:val="003B3339"/>
    <w:rsid w:val="003D1021"/>
    <w:rsid w:val="003D4365"/>
    <w:rsid w:val="003E1EFB"/>
    <w:rsid w:val="003E6B34"/>
    <w:rsid w:val="003E70D5"/>
    <w:rsid w:val="003E770F"/>
    <w:rsid w:val="003F2866"/>
    <w:rsid w:val="00403F16"/>
    <w:rsid w:val="00412243"/>
    <w:rsid w:val="00413961"/>
    <w:rsid w:val="00414F6E"/>
    <w:rsid w:val="004175A9"/>
    <w:rsid w:val="0044419E"/>
    <w:rsid w:val="0045242C"/>
    <w:rsid w:val="0046264D"/>
    <w:rsid w:val="00463BC0"/>
    <w:rsid w:val="00482E97"/>
    <w:rsid w:val="004846D5"/>
    <w:rsid w:val="00492FFE"/>
    <w:rsid w:val="004A33AA"/>
    <w:rsid w:val="004B245E"/>
    <w:rsid w:val="004B3FA9"/>
    <w:rsid w:val="004B4AB2"/>
    <w:rsid w:val="004D5561"/>
    <w:rsid w:val="004F325C"/>
    <w:rsid w:val="00511D17"/>
    <w:rsid w:val="00512DA4"/>
    <w:rsid w:val="00516D32"/>
    <w:rsid w:val="00520DCC"/>
    <w:rsid w:val="00530469"/>
    <w:rsid w:val="00553472"/>
    <w:rsid w:val="00562E86"/>
    <w:rsid w:val="00570E2B"/>
    <w:rsid w:val="005A4627"/>
    <w:rsid w:val="005B7410"/>
    <w:rsid w:val="005C1A39"/>
    <w:rsid w:val="005C45A8"/>
    <w:rsid w:val="005C501B"/>
    <w:rsid w:val="005E0AE1"/>
    <w:rsid w:val="005F37B3"/>
    <w:rsid w:val="0061188D"/>
    <w:rsid w:val="00611CD4"/>
    <w:rsid w:val="006143E2"/>
    <w:rsid w:val="00617570"/>
    <w:rsid w:val="006237F8"/>
    <w:rsid w:val="00630698"/>
    <w:rsid w:val="00643ACD"/>
    <w:rsid w:val="00645370"/>
    <w:rsid w:val="00667253"/>
    <w:rsid w:val="00690B91"/>
    <w:rsid w:val="00693778"/>
    <w:rsid w:val="0069647B"/>
    <w:rsid w:val="006A4D94"/>
    <w:rsid w:val="006A51AA"/>
    <w:rsid w:val="006A7AB5"/>
    <w:rsid w:val="006B0411"/>
    <w:rsid w:val="006B3AF7"/>
    <w:rsid w:val="006C2FF1"/>
    <w:rsid w:val="006D146A"/>
    <w:rsid w:val="006D56A1"/>
    <w:rsid w:val="006D7699"/>
    <w:rsid w:val="006D769D"/>
    <w:rsid w:val="006E3EFF"/>
    <w:rsid w:val="006F3404"/>
    <w:rsid w:val="0070514F"/>
    <w:rsid w:val="007149BB"/>
    <w:rsid w:val="007222B8"/>
    <w:rsid w:val="007628B6"/>
    <w:rsid w:val="0077189F"/>
    <w:rsid w:val="00775042"/>
    <w:rsid w:val="00787CFF"/>
    <w:rsid w:val="00792857"/>
    <w:rsid w:val="00796762"/>
    <w:rsid w:val="007A00A4"/>
    <w:rsid w:val="007A1FFC"/>
    <w:rsid w:val="007B4FD9"/>
    <w:rsid w:val="007C5CFE"/>
    <w:rsid w:val="007D0225"/>
    <w:rsid w:val="007E597F"/>
    <w:rsid w:val="00800538"/>
    <w:rsid w:val="00812F13"/>
    <w:rsid w:val="008167DD"/>
    <w:rsid w:val="0082573A"/>
    <w:rsid w:val="0084168C"/>
    <w:rsid w:val="008421D7"/>
    <w:rsid w:val="008448C5"/>
    <w:rsid w:val="00853652"/>
    <w:rsid w:val="00855357"/>
    <w:rsid w:val="008613D1"/>
    <w:rsid w:val="0086294C"/>
    <w:rsid w:val="00862D09"/>
    <w:rsid w:val="00865123"/>
    <w:rsid w:val="008655E3"/>
    <w:rsid w:val="008828F1"/>
    <w:rsid w:val="00892644"/>
    <w:rsid w:val="00892FA6"/>
    <w:rsid w:val="00896D02"/>
    <w:rsid w:val="00897F22"/>
    <w:rsid w:val="008B13D1"/>
    <w:rsid w:val="008B5A4C"/>
    <w:rsid w:val="008C6D61"/>
    <w:rsid w:val="008E5D64"/>
    <w:rsid w:val="008F0469"/>
    <w:rsid w:val="00902D27"/>
    <w:rsid w:val="0091532C"/>
    <w:rsid w:val="009234B7"/>
    <w:rsid w:val="00931371"/>
    <w:rsid w:val="00933E8D"/>
    <w:rsid w:val="00936D00"/>
    <w:rsid w:val="009529E5"/>
    <w:rsid w:val="00955046"/>
    <w:rsid w:val="009615F8"/>
    <w:rsid w:val="009654A2"/>
    <w:rsid w:val="00972010"/>
    <w:rsid w:val="00972C72"/>
    <w:rsid w:val="009804F2"/>
    <w:rsid w:val="00982522"/>
    <w:rsid w:val="0098684B"/>
    <w:rsid w:val="009917BE"/>
    <w:rsid w:val="009A7A4E"/>
    <w:rsid w:val="009A7E85"/>
    <w:rsid w:val="00A01F6C"/>
    <w:rsid w:val="00A04A64"/>
    <w:rsid w:val="00A17C97"/>
    <w:rsid w:val="00A20250"/>
    <w:rsid w:val="00A2071B"/>
    <w:rsid w:val="00A33EB1"/>
    <w:rsid w:val="00A37214"/>
    <w:rsid w:val="00A41BA9"/>
    <w:rsid w:val="00A43BC8"/>
    <w:rsid w:val="00A5276B"/>
    <w:rsid w:val="00A56155"/>
    <w:rsid w:val="00A7468D"/>
    <w:rsid w:val="00A81DEA"/>
    <w:rsid w:val="00A81F4C"/>
    <w:rsid w:val="00A83168"/>
    <w:rsid w:val="00A84486"/>
    <w:rsid w:val="00A877B7"/>
    <w:rsid w:val="00AB3FD9"/>
    <w:rsid w:val="00AC4860"/>
    <w:rsid w:val="00AC48B3"/>
    <w:rsid w:val="00AC7B42"/>
    <w:rsid w:val="00AD2271"/>
    <w:rsid w:val="00AD3F6C"/>
    <w:rsid w:val="00AD540F"/>
    <w:rsid w:val="00AE2B52"/>
    <w:rsid w:val="00AE7E9F"/>
    <w:rsid w:val="00AF1DCD"/>
    <w:rsid w:val="00AF345B"/>
    <w:rsid w:val="00B07819"/>
    <w:rsid w:val="00B10F80"/>
    <w:rsid w:val="00B22ABA"/>
    <w:rsid w:val="00B25519"/>
    <w:rsid w:val="00B27864"/>
    <w:rsid w:val="00B310CC"/>
    <w:rsid w:val="00B52981"/>
    <w:rsid w:val="00B6347E"/>
    <w:rsid w:val="00B7444C"/>
    <w:rsid w:val="00B764AD"/>
    <w:rsid w:val="00B91719"/>
    <w:rsid w:val="00B9510E"/>
    <w:rsid w:val="00B96BDE"/>
    <w:rsid w:val="00BA19CF"/>
    <w:rsid w:val="00BB35DB"/>
    <w:rsid w:val="00BB706A"/>
    <w:rsid w:val="00BC45C2"/>
    <w:rsid w:val="00BD5569"/>
    <w:rsid w:val="00BE1995"/>
    <w:rsid w:val="00BF4756"/>
    <w:rsid w:val="00C03E44"/>
    <w:rsid w:val="00C05739"/>
    <w:rsid w:val="00C061E9"/>
    <w:rsid w:val="00C125AB"/>
    <w:rsid w:val="00C12D60"/>
    <w:rsid w:val="00C212D6"/>
    <w:rsid w:val="00C376A2"/>
    <w:rsid w:val="00C43547"/>
    <w:rsid w:val="00C824CD"/>
    <w:rsid w:val="00C91939"/>
    <w:rsid w:val="00C94288"/>
    <w:rsid w:val="00CA0ADB"/>
    <w:rsid w:val="00CA2664"/>
    <w:rsid w:val="00CA6304"/>
    <w:rsid w:val="00CA7A5C"/>
    <w:rsid w:val="00CB0DEE"/>
    <w:rsid w:val="00CB2ECD"/>
    <w:rsid w:val="00CB3482"/>
    <w:rsid w:val="00CB4DF2"/>
    <w:rsid w:val="00CB7A6B"/>
    <w:rsid w:val="00CC1491"/>
    <w:rsid w:val="00CC39EF"/>
    <w:rsid w:val="00CC659A"/>
    <w:rsid w:val="00CD4E49"/>
    <w:rsid w:val="00CE3F6B"/>
    <w:rsid w:val="00CE5B32"/>
    <w:rsid w:val="00CF2F24"/>
    <w:rsid w:val="00D040DD"/>
    <w:rsid w:val="00D04320"/>
    <w:rsid w:val="00D04D8D"/>
    <w:rsid w:val="00D07F21"/>
    <w:rsid w:val="00D12A4A"/>
    <w:rsid w:val="00D17BDB"/>
    <w:rsid w:val="00D27018"/>
    <w:rsid w:val="00D30CFA"/>
    <w:rsid w:val="00D45298"/>
    <w:rsid w:val="00D4534D"/>
    <w:rsid w:val="00D46586"/>
    <w:rsid w:val="00D55981"/>
    <w:rsid w:val="00D74264"/>
    <w:rsid w:val="00D75E10"/>
    <w:rsid w:val="00D87239"/>
    <w:rsid w:val="00D9209A"/>
    <w:rsid w:val="00D9622B"/>
    <w:rsid w:val="00DA76A5"/>
    <w:rsid w:val="00DA7E75"/>
    <w:rsid w:val="00DB1E9E"/>
    <w:rsid w:val="00DB7B69"/>
    <w:rsid w:val="00DC4397"/>
    <w:rsid w:val="00DC600B"/>
    <w:rsid w:val="00DD5A78"/>
    <w:rsid w:val="00DE0027"/>
    <w:rsid w:val="00DE1C0D"/>
    <w:rsid w:val="00DF24FE"/>
    <w:rsid w:val="00E0535F"/>
    <w:rsid w:val="00E37E3F"/>
    <w:rsid w:val="00E42574"/>
    <w:rsid w:val="00E458CE"/>
    <w:rsid w:val="00E63DA4"/>
    <w:rsid w:val="00E74669"/>
    <w:rsid w:val="00E75192"/>
    <w:rsid w:val="00E76DE3"/>
    <w:rsid w:val="00E83D9E"/>
    <w:rsid w:val="00E874DB"/>
    <w:rsid w:val="00E96614"/>
    <w:rsid w:val="00E966C6"/>
    <w:rsid w:val="00EA3E17"/>
    <w:rsid w:val="00EB1722"/>
    <w:rsid w:val="00EB6D94"/>
    <w:rsid w:val="00ED3300"/>
    <w:rsid w:val="00ED374B"/>
    <w:rsid w:val="00EE1494"/>
    <w:rsid w:val="00F07C52"/>
    <w:rsid w:val="00F07ECA"/>
    <w:rsid w:val="00F15B4E"/>
    <w:rsid w:val="00F20673"/>
    <w:rsid w:val="00F26D10"/>
    <w:rsid w:val="00F3028A"/>
    <w:rsid w:val="00F4598A"/>
    <w:rsid w:val="00F45EEF"/>
    <w:rsid w:val="00F54B59"/>
    <w:rsid w:val="00F72BD1"/>
    <w:rsid w:val="00F742C0"/>
    <w:rsid w:val="00F7620F"/>
    <w:rsid w:val="00F77E84"/>
    <w:rsid w:val="00F85FBC"/>
    <w:rsid w:val="00F86244"/>
    <w:rsid w:val="00F874A6"/>
    <w:rsid w:val="00F964CD"/>
    <w:rsid w:val="00FA17D4"/>
    <w:rsid w:val="00FB0B41"/>
    <w:rsid w:val="00FB2BE6"/>
    <w:rsid w:val="00FB65CC"/>
    <w:rsid w:val="00FD1DFC"/>
    <w:rsid w:val="00FD64FA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131EB3-068C-4191-8E64-D2D79B23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04"/>
  </w:style>
  <w:style w:type="paragraph" w:styleId="1">
    <w:name w:val="heading 1"/>
    <w:aliases w:val="Document Header1"/>
    <w:basedOn w:val="a"/>
    <w:next w:val="a"/>
    <w:link w:val="10"/>
    <w:uiPriority w:val="9"/>
    <w:qFormat/>
    <w:rsid w:val="006F340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uiPriority w:val="9"/>
    <w:rsid w:val="006F3404"/>
    <w:rPr>
      <w:rFonts w:ascii="Arial" w:eastAsia="Times New Roman" w:hAnsi="Arial" w:cs="Times New Roman"/>
      <w:color w:val="000000"/>
      <w:sz w:val="20"/>
      <w:szCs w:val="20"/>
    </w:rPr>
  </w:style>
  <w:style w:type="table" w:styleId="a3">
    <w:name w:val="Table Grid"/>
    <w:basedOn w:val="a1"/>
    <w:uiPriority w:val="39"/>
    <w:rsid w:val="006F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F34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F34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unhideWhenUsed/>
    <w:rsid w:val="006F340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F3404"/>
  </w:style>
  <w:style w:type="paragraph" w:styleId="a8">
    <w:name w:val="List Paragraph"/>
    <w:basedOn w:val="a"/>
    <w:link w:val="a9"/>
    <w:uiPriority w:val="34"/>
    <w:qFormat/>
    <w:rsid w:val="006F3404"/>
    <w:pPr>
      <w:ind w:left="720"/>
      <w:contextualSpacing/>
    </w:p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5C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uiPriority w:val="99"/>
    <w:locked/>
    <w:rsid w:val="005C1A3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5C1A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5C1A39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5C1A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9">
    <w:name w:val="Абзац списка Знак"/>
    <w:link w:val="a8"/>
    <w:uiPriority w:val="34"/>
    <w:rsid w:val="00617570"/>
  </w:style>
  <w:style w:type="character" w:customStyle="1" w:styleId="s1">
    <w:name w:val="s1"/>
    <w:rsid w:val="0061757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e">
    <w:name w:val="header"/>
    <w:basedOn w:val="a"/>
    <w:link w:val="af"/>
    <w:uiPriority w:val="99"/>
    <w:unhideWhenUsed/>
    <w:rsid w:val="00A3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7214"/>
  </w:style>
  <w:style w:type="paragraph" w:styleId="af0">
    <w:name w:val="footer"/>
    <w:basedOn w:val="a"/>
    <w:link w:val="af1"/>
    <w:uiPriority w:val="99"/>
    <w:unhideWhenUsed/>
    <w:rsid w:val="00A3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7214"/>
  </w:style>
  <w:style w:type="paragraph" w:styleId="HTML">
    <w:name w:val="HTML Preformatted"/>
    <w:basedOn w:val="a"/>
    <w:link w:val="HTML0"/>
    <w:uiPriority w:val="99"/>
    <w:unhideWhenUsed/>
    <w:rsid w:val="003F2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F28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2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222B8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a0"/>
    <w:rsid w:val="00156F6E"/>
  </w:style>
  <w:style w:type="character" w:styleId="af4">
    <w:name w:val="Hyperlink"/>
    <w:basedOn w:val="a0"/>
    <w:uiPriority w:val="99"/>
    <w:unhideWhenUsed/>
    <w:rsid w:val="000A2EC4"/>
    <w:rPr>
      <w:color w:val="0000FF" w:themeColor="hyperlink"/>
      <w:u w:val="single"/>
    </w:rPr>
  </w:style>
  <w:style w:type="paragraph" w:customStyle="1" w:styleId="Default">
    <w:name w:val="Default"/>
    <w:rsid w:val="003B3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0DD9-C02F-49E5-A560-5BFEBE5A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user</cp:lastModifiedBy>
  <cp:revision>12</cp:revision>
  <cp:lastPrinted>2020-02-25T05:53:00Z</cp:lastPrinted>
  <dcterms:created xsi:type="dcterms:W3CDTF">2020-02-21T06:00:00Z</dcterms:created>
  <dcterms:modified xsi:type="dcterms:W3CDTF">2020-05-11T10:23:00Z</dcterms:modified>
</cp:coreProperties>
</file>