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602440">
        <w:rPr>
          <w:rFonts w:ascii="Times New Roman" w:hAnsi="Times New Roman" w:cs="Times New Roman"/>
          <w:b/>
          <w:sz w:val="24"/>
          <w:szCs w:val="24"/>
        </w:rPr>
        <w:t xml:space="preserve"> №39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9220C9" w:rsidRPr="009220C9" w:rsidRDefault="009220C9" w:rsidP="009220C9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</w:t>
      </w:r>
      <w:bookmarkStart w:id="0" w:name="_GoBack"/>
      <w:bookmarkEnd w:id="0"/>
      <w:r w:rsidRPr="009220C9">
        <w:rPr>
          <w:rStyle w:val="s1"/>
          <w:b w:val="0"/>
          <w:sz w:val="24"/>
          <w:szCs w:val="24"/>
        </w:rPr>
        <w:t>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993"/>
        <w:gridCol w:w="1417"/>
        <w:gridCol w:w="1701"/>
      </w:tblGrid>
      <w:tr w:rsidR="008624D2" w:rsidRPr="00FC66AB" w:rsidTr="00EE4634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0D50B6" w:rsidRPr="00C41196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Техническая спецификация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  <w:r w:rsidR="003B7741"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624D2" w:rsidRPr="00FC66AB" w:rsidTr="00EE4634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E5FC0" w:rsidRPr="00C41196" w:rsidRDefault="00602440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C2" w:rsidRPr="00C92453" w:rsidRDefault="00602440" w:rsidP="000B1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Одноразовая </w:t>
            </w:r>
            <w:r w:rsidRPr="00282FF4">
              <w:rPr>
                <w:rFonts w:ascii="Times New Roman" w:hAnsi="Times New Roman" w:cs="Times New Roman"/>
              </w:rPr>
              <w:t>рото-носовая маска (невентилируемая)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602440" w:rsidRDefault="00602440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при не инвазивной искусственной вентиляции легких с положительным давлением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Она предназначена для отдельного пациента с респираторной недостаточностью и самопроизвольным дыханием , для которого разрешена не инвазивная искусственная вентиляция легких с поддержкой давлением .Маску разрешается использовать только а комбинации с терапевтическими аппаратами у которых имеются соответствующие аварийные сигналы </w:t>
            </w:r>
            <w:r w:rsidR="00282FF4">
              <w:rPr>
                <w:rFonts w:ascii="Times New Roman" w:hAnsi="Times New Roman" w:cs="Times New Roman"/>
              </w:rPr>
              <w:t>и системы безопасности на случай выхода аппарата из строя можно использовать только в сочетании с терапевтическими аппаратами</w:t>
            </w:r>
            <w:proofErr w:type="gramStart"/>
            <w:r w:rsidR="00282FF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282FF4">
              <w:rPr>
                <w:rFonts w:ascii="Times New Roman" w:hAnsi="Times New Roman" w:cs="Times New Roman"/>
              </w:rPr>
              <w:t xml:space="preserve"> имеющими активный выдыхательный клапан размер М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282FF4" w:rsidRDefault="00282FF4" w:rsidP="008624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C92453" w:rsidRDefault="00282FF4" w:rsidP="00C77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C92453" w:rsidRDefault="00282FF4" w:rsidP="008624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100 000</w:t>
            </w:r>
          </w:p>
        </w:tc>
      </w:tr>
      <w:tr w:rsidR="008624D2" w:rsidRPr="00FC66AB" w:rsidTr="00EE4634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33651" w:rsidRPr="00C41196" w:rsidRDefault="00282FF4" w:rsidP="00EE4634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282FF4" w:rsidP="000B1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Одноразовая </w:t>
            </w:r>
            <w:r w:rsidRPr="00282FF4">
              <w:rPr>
                <w:rFonts w:ascii="Times New Roman" w:hAnsi="Times New Roman" w:cs="Times New Roman"/>
              </w:rPr>
              <w:t>рото-носовая маска (невентилируемая)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282FF4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при не инвазивной искусственной вентиляции легких с положительным давлением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Она предназначена для отдельного пациента с респираторной недостаточностью и самопроизвольным дыханием , для которого разрешена не инвазивная искусственная вентиляция легких с поддержкой давлением .Маску разрешается использовать только а комбинации с терапевтическими аппаратами у которых имеются соответствующие аварийные сигналы и системы безопасности на случай выхода аппарата из строя можно использовать только в сочетании с терапевтическими аппаратами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имеющими активный выдыхательный клапан размер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282FF4" w:rsidP="008624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282FF4" w:rsidP="00C77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282FF4" w:rsidP="008624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260 000</w:t>
            </w:r>
          </w:p>
        </w:tc>
      </w:tr>
      <w:tr w:rsidR="008624D2" w:rsidRPr="00FC66AB" w:rsidTr="00EE4634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F33BA" w:rsidRPr="00C41196" w:rsidRDefault="00282FF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282FF4" w:rsidP="00862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Комплект назальных </w:t>
            </w:r>
            <w:r>
              <w:rPr>
                <w:rFonts w:ascii="Times New Roman" w:hAnsi="Times New Roman" w:cs="Times New Roman"/>
              </w:rPr>
              <w:lastRenderedPageBreak/>
              <w:t>канюль для различного размера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282FF4" w:rsidP="00A32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размер М диаметр канюли 5,0 мм: </w:t>
            </w:r>
            <w:r>
              <w:rPr>
                <w:rFonts w:ascii="Times New Roman" w:hAnsi="Times New Roman" w:cs="Times New Roman"/>
              </w:rPr>
              <w:lastRenderedPageBreak/>
              <w:t>максимальная скорость потока 80л/мин при обратном избыточном давлении 50мбар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соединение НД 22: длина </w:t>
            </w:r>
            <w:r w:rsidR="00EE4634">
              <w:rPr>
                <w:rFonts w:ascii="Times New Roman" w:hAnsi="Times New Roman" w:cs="Times New Roman"/>
              </w:rPr>
              <w:t xml:space="preserve"> 25</w:t>
            </w:r>
            <w:r w:rsidR="00EE4634">
              <w:rPr>
                <w:rFonts w:ascii="Times New Roman" w:hAnsi="Times New Roman" w:cs="Times New Roman"/>
                <w:lang w:val="kk-KZ"/>
              </w:rPr>
              <w:t>cm</w:t>
            </w:r>
            <w:r>
              <w:rPr>
                <w:rFonts w:ascii="Times New Roman" w:hAnsi="Times New Roman" w:cs="Times New Roman"/>
              </w:rPr>
              <w:t>10</w:t>
            </w:r>
            <w:r w:rsidR="00EE4634">
              <w:rPr>
                <w:rFonts w:ascii="Times New Roman" w:hAnsi="Times New Roman" w:cs="Times New Roman"/>
                <w:lang w:val="kk-KZ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одноразовых канюль в каждом комплекте.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EE4634" w:rsidP="00862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</w:t>
            </w:r>
            <w:r>
              <w:rPr>
                <w:rFonts w:ascii="Times New Roman" w:hAnsi="Times New Roman" w:cs="Times New Roman"/>
              </w:rPr>
              <w:lastRenderedPageBreak/>
              <w:t>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EE4634" w:rsidP="00862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EE4634" w:rsidP="008624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180 000</w:t>
            </w:r>
          </w:p>
        </w:tc>
      </w:tr>
      <w:tr w:rsidR="00EE4634" w:rsidRPr="00FC66AB" w:rsidTr="00EE4634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4634" w:rsidRDefault="00EE463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4" w:rsidRPr="00C92453" w:rsidRDefault="00EE4634" w:rsidP="005C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назальных канюль для различного размера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4" w:rsidRPr="00C92453" w:rsidRDefault="00EE4634" w:rsidP="005C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диаметр канюли </w:t>
            </w:r>
            <w:r w:rsidRPr="00EE463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 мм: максимальная скорость потока 80л/мин при обратном избыточном давлении 50мбар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соединение НД 22: длина  25</w:t>
            </w:r>
            <w:r>
              <w:rPr>
                <w:rFonts w:ascii="Times New Roman" w:hAnsi="Times New Roman" w:cs="Times New Roman"/>
                <w:lang w:val="kk-KZ"/>
              </w:rPr>
              <w:t>cm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 xml:space="preserve"> in</w:t>
            </w:r>
            <w:r>
              <w:rPr>
                <w:rFonts w:ascii="Times New Roman" w:hAnsi="Times New Roman" w:cs="Times New Roman"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одноразовых канюль в каждом комплекте.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4" w:rsidRPr="00C92453" w:rsidRDefault="00EE4634" w:rsidP="005C0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4" w:rsidRPr="00EE4634" w:rsidRDefault="00EE4634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34" w:rsidRPr="00EE4634" w:rsidRDefault="00EE4634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360 000</w:t>
            </w:r>
          </w:p>
        </w:tc>
      </w:tr>
      <w:tr w:rsidR="00EE4634" w:rsidRPr="00FC66AB" w:rsidTr="00EE4634">
        <w:trPr>
          <w:trHeight w:val="37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634" w:rsidRPr="000D50B6" w:rsidRDefault="00EE4634" w:rsidP="00C41196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ИТОГО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34" w:rsidRDefault="00EE4634" w:rsidP="008624D2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E4634" w:rsidRPr="00EE4634" w:rsidRDefault="00EE4634" w:rsidP="008624D2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900 000</w:t>
            </w:r>
          </w:p>
        </w:tc>
      </w:tr>
    </w:tbl>
    <w:p w:rsidR="00C41196" w:rsidRDefault="00C41196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651">
        <w:rPr>
          <w:rFonts w:ascii="Times New Roman" w:hAnsi="Times New Roman" w:cs="Times New Roman"/>
          <w:b/>
          <w:sz w:val="24"/>
          <w:szCs w:val="24"/>
        </w:rPr>
        <w:t xml:space="preserve">Сроки и условия поставки – </w:t>
      </w:r>
      <w:proofErr w:type="gramStart"/>
      <w:r w:rsidRPr="00933651">
        <w:rPr>
          <w:rFonts w:ascii="Times New Roman" w:hAnsi="Times New Roman" w:cs="Times New Roman"/>
          <w:b/>
          <w:sz w:val="24"/>
          <w:szCs w:val="24"/>
        </w:rPr>
        <w:t>с даты з</w:t>
      </w:r>
      <w:r w:rsidR="00EE4634">
        <w:rPr>
          <w:rFonts w:ascii="Times New Roman" w:hAnsi="Times New Roman" w:cs="Times New Roman"/>
          <w:b/>
          <w:sz w:val="24"/>
          <w:szCs w:val="24"/>
        </w:rPr>
        <w:t>аключения</w:t>
      </w:r>
      <w:proofErr w:type="gramEnd"/>
      <w:r w:rsidR="00EE4634">
        <w:rPr>
          <w:rFonts w:ascii="Times New Roman" w:hAnsi="Times New Roman" w:cs="Times New Roman"/>
          <w:b/>
          <w:sz w:val="24"/>
          <w:szCs w:val="24"/>
        </w:rPr>
        <w:t xml:space="preserve"> договоров в течение </w:t>
      </w:r>
      <w:r w:rsidR="00EE4634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Pr="00933651">
        <w:rPr>
          <w:rFonts w:ascii="Times New Roman" w:hAnsi="Times New Roman" w:cs="Times New Roman"/>
          <w:b/>
          <w:sz w:val="24"/>
          <w:szCs w:val="24"/>
        </w:rPr>
        <w:t xml:space="preserve"> календарных дней</w:t>
      </w:r>
      <w:r w:rsidRPr="001219A4">
        <w:rPr>
          <w:rFonts w:ascii="Times New Roman" w:hAnsi="Times New Roman" w:cs="Times New Roman"/>
          <w:sz w:val="24"/>
          <w:szCs w:val="24"/>
        </w:rPr>
        <w:t>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>
        <w:rPr>
          <w:rFonts w:ascii="Times New Roman" w:hAnsi="Times New Roman" w:cs="Times New Roman"/>
          <w:sz w:val="24"/>
          <w:szCs w:val="24"/>
        </w:rPr>
        <w:t>ставления(пр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8624D2">
        <w:rPr>
          <w:rFonts w:ascii="Times New Roman" w:hAnsi="Times New Roman" w:cs="Times New Roman"/>
          <w:b/>
          <w:sz w:val="24"/>
          <w:szCs w:val="24"/>
        </w:rPr>
        <w:t>09</w:t>
      </w:r>
      <w:r w:rsidRPr="008624D2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60244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D749EF" w:rsidRPr="008624D2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8624D2">
        <w:rPr>
          <w:rFonts w:ascii="Times New Roman" w:hAnsi="Times New Roman" w:cs="Times New Roman"/>
          <w:b/>
          <w:sz w:val="24"/>
          <w:szCs w:val="24"/>
        </w:rPr>
        <w:t xml:space="preserve"> 2021года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8624D2">
        <w:rPr>
          <w:rFonts w:ascii="Times New Roman" w:hAnsi="Times New Roman" w:cs="Times New Roman"/>
          <w:b/>
          <w:sz w:val="24"/>
          <w:szCs w:val="24"/>
        </w:rPr>
        <w:t>09:30</w:t>
      </w:r>
      <w:r w:rsidRPr="008624D2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602440">
        <w:rPr>
          <w:rFonts w:ascii="Times New Roman" w:hAnsi="Times New Roman" w:cs="Times New Roman"/>
          <w:b/>
          <w:sz w:val="24"/>
          <w:szCs w:val="24"/>
        </w:rPr>
        <w:t>29</w:t>
      </w:r>
      <w:r w:rsidR="00D749EF" w:rsidRPr="008624D2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Pr="008624D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D2B3B" w:rsidRPr="008624D2">
        <w:rPr>
          <w:rFonts w:ascii="Times New Roman" w:hAnsi="Times New Roman" w:cs="Times New Roman"/>
          <w:b/>
          <w:sz w:val="24"/>
          <w:szCs w:val="24"/>
        </w:rPr>
        <w:t>21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Default="009220C9" w:rsidP="009220C9">
      <w:pPr>
        <w:widowControl w:val="0"/>
        <w:spacing w:after="0" w:line="240" w:lineRule="atLeast"/>
        <w:ind w:firstLine="317"/>
        <w:jc w:val="both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П</w:t>
      </w:r>
      <w:r w:rsidRPr="001219A4">
        <w:rPr>
          <w:rStyle w:val="s1"/>
          <w:sz w:val="24"/>
          <w:szCs w:val="24"/>
        </w:rPr>
        <w:t xml:space="preserve">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1219A4">
        <w:rPr>
          <w:rStyle w:val="s1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</w:t>
      </w:r>
      <w:r>
        <w:rPr>
          <w:rStyle w:val="s1"/>
          <w:sz w:val="24"/>
          <w:szCs w:val="24"/>
        </w:rPr>
        <w:t>оответствие предлагаемых лекарственных средств и (или) медицинских изделий</w:t>
      </w:r>
      <w:r w:rsidRPr="001219A4">
        <w:rPr>
          <w:rStyle w:val="s1"/>
          <w:sz w:val="24"/>
          <w:szCs w:val="24"/>
        </w:rPr>
        <w:t xml:space="preserve"> требованиям, установленным главой 4 настоящих Правил</w:t>
      </w:r>
      <w:r>
        <w:rPr>
          <w:rStyle w:val="s1"/>
          <w:sz w:val="24"/>
          <w:szCs w:val="24"/>
        </w:rPr>
        <w:t xml:space="preserve">, </w:t>
      </w:r>
      <w:r w:rsidRPr="001219A4">
        <w:rPr>
          <w:rStyle w:val="s1"/>
          <w:sz w:val="24"/>
          <w:szCs w:val="24"/>
        </w:rPr>
        <w:t>а также</w:t>
      </w:r>
      <w:proofErr w:type="gramEnd"/>
      <w:r w:rsidRPr="001219A4">
        <w:rPr>
          <w:rStyle w:val="s1"/>
          <w:sz w:val="24"/>
          <w:szCs w:val="24"/>
        </w:rPr>
        <w:t xml:space="preserve"> описание и объем фармацевтических услуг.</w:t>
      </w:r>
    </w:p>
    <w:p w:rsidR="00933651" w:rsidRDefault="00933651" w:rsidP="008624D2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8624D2" w:rsidRDefault="008624D2" w:rsidP="008624D2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933651" w:rsidRPr="001219A4" w:rsidRDefault="00933651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9220C9" w:rsidRPr="008624D2" w:rsidRDefault="009220C9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24D2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12</w:t>
      </w:r>
      <w:r w:rsidRPr="008624D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к приказу Министра здравоохранения и</w:t>
      </w:r>
      <w:r w:rsidRPr="008624D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социального развития Республики Казахстан</w:t>
      </w:r>
      <w:r w:rsidRPr="008624D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от __ ______ 201__ года №__ Форма</w:t>
      </w:r>
    </w:p>
    <w:p w:rsidR="009220C9" w:rsidRPr="00C41196" w:rsidRDefault="009220C9" w:rsidP="00922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1196">
        <w:rPr>
          <w:rFonts w:ascii="Times New Roman" w:eastAsia="Times New Roman" w:hAnsi="Times New Roman"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C41196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1148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3260"/>
      </w:tblGrid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506A"/>
    <w:rsid w:val="001457FF"/>
    <w:rsid w:val="00151895"/>
    <w:rsid w:val="0015296F"/>
    <w:rsid w:val="00163D51"/>
    <w:rsid w:val="00167019"/>
    <w:rsid w:val="001715C2"/>
    <w:rsid w:val="001718F7"/>
    <w:rsid w:val="001873C8"/>
    <w:rsid w:val="001919A4"/>
    <w:rsid w:val="001B0F59"/>
    <w:rsid w:val="001B177C"/>
    <w:rsid w:val="001B2D78"/>
    <w:rsid w:val="001B43B5"/>
    <w:rsid w:val="001C26BC"/>
    <w:rsid w:val="001E5FC0"/>
    <w:rsid w:val="001E73CD"/>
    <w:rsid w:val="001F6702"/>
    <w:rsid w:val="00200ED5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7115"/>
    <w:rsid w:val="00356ED9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43353"/>
    <w:rsid w:val="00743FA2"/>
    <w:rsid w:val="0075191D"/>
    <w:rsid w:val="00761B95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624D2"/>
    <w:rsid w:val="008727F4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41D7"/>
    <w:rsid w:val="00A24AFB"/>
    <w:rsid w:val="00A30DF0"/>
    <w:rsid w:val="00A325A3"/>
    <w:rsid w:val="00A415DF"/>
    <w:rsid w:val="00A5013F"/>
    <w:rsid w:val="00A52F84"/>
    <w:rsid w:val="00A558AA"/>
    <w:rsid w:val="00A77787"/>
    <w:rsid w:val="00A778FF"/>
    <w:rsid w:val="00A93026"/>
    <w:rsid w:val="00A9512E"/>
    <w:rsid w:val="00AA2018"/>
    <w:rsid w:val="00AA226A"/>
    <w:rsid w:val="00AB1D87"/>
    <w:rsid w:val="00AB277A"/>
    <w:rsid w:val="00AB7FA3"/>
    <w:rsid w:val="00AC7DD5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92453"/>
    <w:rsid w:val="00C97523"/>
    <w:rsid w:val="00CA42FF"/>
    <w:rsid w:val="00CB3896"/>
    <w:rsid w:val="00CC38EC"/>
    <w:rsid w:val="00CC4C7E"/>
    <w:rsid w:val="00CE0954"/>
    <w:rsid w:val="00CE09BA"/>
    <w:rsid w:val="00CF0270"/>
    <w:rsid w:val="00CF31F9"/>
    <w:rsid w:val="00D13378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67C5"/>
    <w:rsid w:val="00D76980"/>
    <w:rsid w:val="00D76EE0"/>
    <w:rsid w:val="00D81A35"/>
    <w:rsid w:val="00D81D82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F00A2"/>
    <w:rsid w:val="00E06E3C"/>
    <w:rsid w:val="00E17575"/>
    <w:rsid w:val="00E21BFD"/>
    <w:rsid w:val="00E232F5"/>
    <w:rsid w:val="00E270C6"/>
    <w:rsid w:val="00E5500D"/>
    <w:rsid w:val="00E624DE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CB14-1DAD-44DA-ABA3-545150E7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389</cp:revision>
  <cp:lastPrinted>2021-02-02T12:14:00Z</cp:lastPrinted>
  <dcterms:created xsi:type="dcterms:W3CDTF">2018-01-25T10:18:00Z</dcterms:created>
  <dcterms:modified xsi:type="dcterms:W3CDTF">2021-09-22T03:16:00Z</dcterms:modified>
</cp:coreProperties>
</file>