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74174D">
        <w:rPr>
          <w:rFonts w:ascii="Times New Roman" w:hAnsi="Times New Roman" w:cs="Times New Roman"/>
          <w:b/>
          <w:sz w:val="24"/>
          <w:szCs w:val="24"/>
        </w:rPr>
        <w:t xml:space="preserve"> №41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065D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="00DB11E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701"/>
        <w:gridCol w:w="2126"/>
        <w:gridCol w:w="1985"/>
      </w:tblGrid>
      <w:tr w:rsidR="00D06DE4" w:rsidRPr="00FC66AB" w:rsidTr="00D06DE4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D06DE4" w:rsidRPr="00C41196" w:rsidRDefault="00D06DE4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C41196" w:rsidRDefault="00D06DE4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4119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D06DE4" w:rsidRPr="00FC66AB" w:rsidTr="00D06DE4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4" w:rsidRDefault="00D06DE4" w:rsidP="00D06DE4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DE4" w:rsidRDefault="00D06DE4" w:rsidP="00D06DE4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DE4" w:rsidRPr="00E67B72" w:rsidRDefault="00D06DE4" w:rsidP="00D06DE4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8624D2">
            <w:pPr>
              <w:rPr>
                <w:rFonts w:ascii="Times New Roman" w:hAnsi="Times New Roman" w:cs="Times New Roman"/>
              </w:rPr>
            </w:pPr>
            <w:proofErr w:type="spellStart"/>
            <w:r w:rsidRPr="00D06DE4">
              <w:rPr>
                <w:rFonts w:ascii="Times New Roman" w:hAnsi="Times New Roman" w:cs="Times New Roman"/>
              </w:rPr>
              <w:t>Термоконтейнер</w:t>
            </w:r>
            <w:proofErr w:type="spellEnd"/>
            <w:r w:rsidRPr="00D06DE4">
              <w:rPr>
                <w:rFonts w:ascii="Times New Roman" w:hAnsi="Times New Roman" w:cs="Times New Roman"/>
              </w:rPr>
              <w:t xml:space="preserve"> ТМ 9  в сумке </w:t>
            </w:r>
            <w:proofErr w:type="gramStart"/>
            <w:r w:rsidRPr="00D06DE4">
              <w:rPr>
                <w:rFonts w:ascii="Times New Roman" w:hAnsi="Times New Roman" w:cs="Times New Roman"/>
              </w:rPr>
              <w:t>–ч</w:t>
            </w:r>
            <w:proofErr w:type="gramEnd"/>
            <w:r w:rsidRPr="00D06DE4">
              <w:rPr>
                <w:rFonts w:ascii="Times New Roman" w:hAnsi="Times New Roman" w:cs="Times New Roman"/>
              </w:rPr>
              <w:t xml:space="preserve">ехле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8624D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6DE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8624D2">
            <w:pPr>
              <w:jc w:val="center"/>
              <w:rPr>
                <w:rFonts w:ascii="Times New Roman" w:hAnsi="Times New Roman" w:cs="Times New Roman"/>
              </w:rPr>
            </w:pPr>
            <w:r w:rsidRPr="00D06D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8624D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6DE4">
              <w:rPr>
                <w:rFonts w:ascii="Times New Roman" w:hAnsi="Times New Roman" w:cs="Times New Roman"/>
                <w:color w:val="000000"/>
              </w:rPr>
              <w:t>457 200</w:t>
            </w:r>
          </w:p>
        </w:tc>
      </w:tr>
      <w:tr w:rsidR="00D06DE4" w:rsidRPr="00FC66AB" w:rsidTr="00D06DE4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4" w:rsidRDefault="00D06DE4" w:rsidP="00D06DE4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DE4" w:rsidRDefault="00D06DE4" w:rsidP="00D06DE4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DE4" w:rsidRDefault="00D06DE4" w:rsidP="00D06DE4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5C00E8">
            <w:pPr>
              <w:rPr>
                <w:rFonts w:ascii="Times New Roman" w:hAnsi="Times New Roman" w:cs="Times New Roman"/>
              </w:rPr>
            </w:pPr>
            <w:proofErr w:type="spellStart"/>
            <w:r w:rsidRPr="00D06DE4">
              <w:rPr>
                <w:rFonts w:ascii="Times New Roman" w:hAnsi="Times New Roman" w:cs="Times New Roman"/>
              </w:rPr>
              <w:t>Термоконтейнер</w:t>
            </w:r>
            <w:proofErr w:type="spellEnd"/>
            <w:r w:rsidRPr="00D06DE4">
              <w:rPr>
                <w:rFonts w:ascii="Times New Roman" w:hAnsi="Times New Roman" w:cs="Times New Roman"/>
              </w:rPr>
              <w:t xml:space="preserve"> ТМ 6</w:t>
            </w:r>
            <w:r w:rsidRPr="00D06DE4">
              <w:rPr>
                <w:rFonts w:ascii="Times New Roman" w:hAnsi="Times New Roman" w:cs="Times New Roman"/>
              </w:rPr>
              <w:t xml:space="preserve">  в сумке </w:t>
            </w:r>
            <w:proofErr w:type="gramStart"/>
            <w:r w:rsidRPr="00D06DE4">
              <w:rPr>
                <w:rFonts w:ascii="Times New Roman" w:hAnsi="Times New Roman" w:cs="Times New Roman"/>
              </w:rPr>
              <w:t>–ч</w:t>
            </w:r>
            <w:proofErr w:type="gramEnd"/>
            <w:r w:rsidRPr="00D06DE4">
              <w:rPr>
                <w:rFonts w:ascii="Times New Roman" w:hAnsi="Times New Roman" w:cs="Times New Roman"/>
              </w:rPr>
              <w:t>ехле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6DE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6DE4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06DE4">
              <w:rPr>
                <w:rFonts w:ascii="Times New Roman" w:hAnsi="Times New Roman" w:cs="Times New Roman"/>
                <w:color w:val="000000"/>
                <w:lang w:val="kk-KZ"/>
              </w:rPr>
              <w:t>727 500</w:t>
            </w:r>
          </w:p>
        </w:tc>
      </w:tr>
      <w:tr w:rsidR="00D06DE4" w:rsidRPr="00FC66AB" w:rsidTr="00D06DE4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E4" w:rsidRDefault="00D06DE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DE4" w:rsidRDefault="00D06DE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E67B72" w:rsidRDefault="00D06DE4" w:rsidP="005C00E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Термоконтейнер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ТМ 20</w:t>
            </w:r>
            <w:r w:rsidRPr="00D06DE4">
              <w:rPr>
                <w:rFonts w:ascii="Times New Roman" w:hAnsi="Times New Roman" w:cs="Times New Roman"/>
              </w:rPr>
              <w:t xml:space="preserve">  в сумке </w:t>
            </w:r>
            <w:proofErr w:type="gramStart"/>
            <w:r w:rsidRPr="00D06DE4">
              <w:rPr>
                <w:rFonts w:ascii="Times New Roman" w:hAnsi="Times New Roman" w:cs="Times New Roman"/>
              </w:rPr>
              <w:t>–ч</w:t>
            </w:r>
            <w:proofErr w:type="gramEnd"/>
            <w:r w:rsidRPr="00D06DE4">
              <w:rPr>
                <w:rFonts w:ascii="Times New Roman" w:hAnsi="Times New Roman" w:cs="Times New Roman"/>
              </w:rPr>
              <w:t>ехле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06DE4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50 200</w:t>
            </w:r>
          </w:p>
        </w:tc>
      </w:tr>
      <w:tr w:rsidR="00D06DE4" w:rsidRPr="00FC66AB" w:rsidTr="00E70AA2">
        <w:trPr>
          <w:trHeight w:val="3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A2" w:rsidRDefault="00E70AA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A2" w:rsidRDefault="00E70AA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A2" w:rsidRDefault="00E70AA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A2" w:rsidRDefault="00E70AA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0AA2" w:rsidRDefault="00E70AA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06DE4" w:rsidRDefault="00D06DE4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D06DE4" w:rsidRDefault="00D06DE4" w:rsidP="00D06DE4">
            <w:pPr>
              <w:rPr>
                <w:rFonts w:ascii="Arial" w:eastAsia="Times New Roman" w:hAnsi="Arial" w:cs="Arial"/>
                <w:bCs/>
                <w:szCs w:val="18"/>
                <w:lang w:eastAsia="ru-RU"/>
              </w:rPr>
            </w:pPr>
            <w:r w:rsidRPr="00D06DE4">
              <w:rPr>
                <w:rFonts w:ascii="Times New Roman" w:hAnsi="Times New Roman" w:cs="Times New Roman"/>
              </w:rPr>
              <w:t xml:space="preserve">Матрац </w:t>
            </w:r>
            <w:proofErr w:type="spellStart"/>
            <w:r w:rsidRPr="00D06DE4">
              <w:rPr>
                <w:rFonts w:ascii="Times New Roman" w:hAnsi="Times New Roman" w:cs="Times New Roman"/>
              </w:rPr>
              <w:t>противопролежный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27F9E">
              <w:rPr>
                <w:rFonts w:ascii="Arial" w:hAnsi="Arial" w:cs="Arial"/>
                <w:bCs/>
                <w:szCs w:val="18"/>
              </w:rPr>
              <w:t>ячеистый, с компрессором, с регул</w:t>
            </w:r>
            <w:proofErr w:type="gramStart"/>
            <w:r w:rsidRPr="00027F9E">
              <w:rPr>
                <w:rFonts w:ascii="Arial" w:hAnsi="Arial" w:cs="Arial"/>
                <w:bCs/>
                <w:szCs w:val="18"/>
              </w:rPr>
              <w:t>.</w:t>
            </w:r>
            <w:proofErr w:type="gramEnd"/>
            <w:r w:rsidRPr="00027F9E">
              <w:rPr>
                <w:rFonts w:ascii="Arial" w:hAnsi="Arial" w:cs="Arial"/>
                <w:bCs/>
                <w:szCs w:val="18"/>
              </w:rPr>
              <w:t xml:space="preserve"> </w:t>
            </w:r>
            <w:proofErr w:type="gramStart"/>
            <w:r w:rsidRPr="00027F9E">
              <w:rPr>
                <w:rFonts w:ascii="Arial" w:hAnsi="Arial" w:cs="Arial"/>
                <w:bCs/>
                <w:szCs w:val="18"/>
              </w:rPr>
              <w:t>д</w:t>
            </w:r>
            <w:proofErr w:type="gramEnd"/>
            <w:r w:rsidRPr="00027F9E">
              <w:rPr>
                <w:rFonts w:ascii="Arial" w:hAnsi="Arial" w:cs="Arial"/>
                <w:bCs/>
                <w:szCs w:val="18"/>
              </w:rPr>
              <w:t>авления</w:t>
            </w:r>
            <w:r w:rsidRPr="00027F9E">
              <w:rPr>
                <w:rFonts w:ascii="Arial" w:hAnsi="Arial" w:cs="Arial"/>
                <w:bCs/>
                <w:szCs w:val="18"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>Вид-ячеистый</w:t>
            </w:r>
          </w:p>
          <w:p w:rsidR="00D06DE4" w:rsidRPr="00D06DE4" w:rsidRDefault="00D06DE4" w:rsidP="00D06DE4">
            <w:pPr>
              <w:spacing w:after="0" w:line="240" w:lineRule="auto"/>
              <w:rPr>
                <w:rFonts w:ascii="Arial" w:eastAsia="Times New Roman" w:hAnsi="Arial" w:cs="Arial"/>
                <w:bCs/>
                <w:szCs w:val="18"/>
                <w:lang w:eastAsia="ru-RU"/>
              </w:rPr>
            </w:pPr>
            <w:proofErr w:type="gramStart"/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>Максимальная</w:t>
            </w:r>
            <w:proofErr w:type="gramEnd"/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 xml:space="preserve"> нагрузка-135 кг</w:t>
            </w:r>
          </w:p>
          <w:p w:rsidR="00D06DE4" w:rsidRPr="00D06DE4" w:rsidRDefault="00D06DE4" w:rsidP="00D06DE4">
            <w:pPr>
              <w:spacing w:after="0" w:line="240" w:lineRule="auto"/>
              <w:rPr>
                <w:rFonts w:ascii="Arial" w:eastAsia="Times New Roman" w:hAnsi="Arial" w:cs="Arial"/>
                <w:bCs/>
                <w:szCs w:val="18"/>
                <w:lang w:eastAsia="ru-RU"/>
              </w:rPr>
            </w:pPr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>Материал-поливинилхлорид</w:t>
            </w:r>
          </w:p>
          <w:p w:rsidR="00D06DE4" w:rsidRPr="00D06DE4" w:rsidRDefault="00D06DE4" w:rsidP="00D06DE4">
            <w:pPr>
              <w:spacing w:after="0" w:line="240" w:lineRule="auto"/>
              <w:rPr>
                <w:rFonts w:ascii="Arial" w:eastAsia="Times New Roman" w:hAnsi="Arial" w:cs="Arial"/>
                <w:bCs/>
                <w:szCs w:val="18"/>
                <w:lang w:eastAsia="ru-RU"/>
              </w:rPr>
            </w:pPr>
            <w:proofErr w:type="gramStart"/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>Компрессор-есть</w:t>
            </w:r>
            <w:proofErr w:type="gramEnd"/>
          </w:p>
          <w:p w:rsidR="00D06DE4" w:rsidRPr="00D06DE4" w:rsidRDefault="00D06DE4" w:rsidP="00D06DE4">
            <w:pPr>
              <w:spacing w:after="0" w:line="240" w:lineRule="auto"/>
              <w:rPr>
                <w:rFonts w:ascii="Arial" w:eastAsia="Times New Roman" w:hAnsi="Arial" w:cs="Arial"/>
                <w:bCs/>
                <w:szCs w:val="18"/>
                <w:lang w:eastAsia="ru-RU"/>
              </w:rPr>
            </w:pPr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 xml:space="preserve">Регулировка </w:t>
            </w:r>
            <w:proofErr w:type="gramStart"/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>давления-есть</w:t>
            </w:r>
            <w:proofErr w:type="gramEnd"/>
          </w:p>
          <w:p w:rsidR="00D06DE4" w:rsidRPr="00D06DE4" w:rsidRDefault="00D06DE4" w:rsidP="00D06DE4">
            <w:pPr>
              <w:spacing w:after="0" w:line="240" w:lineRule="auto"/>
              <w:rPr>
                <w:rFonts w:ascii="Arial" w:eastAsia="Times New Roman" w:hAnsi="Arial" w:cs="Arial"/>
                <w:bCs/>
                <w:szCs w:val="18"/>
                <w:lang w:eastAsia="ru-RU"/>
              </w:rPr>
            </w:pPr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>Длительность цикла-6 мин</w:t>
            </w:r>
          </w:p>
          <w:p w:rsidR="00D06DE4" w:rsidRPr="00D06DE4" w:rsidRDefault="00D06DE4" w:rsidP="00D06DE4">
            <w:pPr>
              <w:spacing w:after="0" w:line="240" w:lineRule="auto"/>
              <w:rPr>
                <w:rFonts w:ascii="Arial" w:eastAsia="Times New Roman" w:hAnsi="Arial" w:cs="Arial"/>
                <w:bCs/>
                <w:szCs w:val="18"/>
                <w:lang w:eastAsia="ru-RU"/>
              </w:rPr>
            </w:pPr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 xml:space="preserve">Размер (Д х </w:t>
            </w:r>
            <w:proofErr w:type="gramStart"/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>Ш</w:t>
            </w:r>
            <w:proofErr w:type="gramEnd"/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 xml:space="preserve"> х В)-200 х 89 х 9 см</w:t>
            </w:r>
          </w:p>
          <w:p w:rsidR="00D06DE4" w:rsidRPr="00E67B72" w:rsidRDefault="00D06DE4" w:rsidP="00D06DE4">
            <w:pPr>
              <w:rPr>
                <w:rFonts w:ascii="Times New Roman" w:hAnsi="Times New Roman" w:cs="Times New Roman"/>
                <w:b/>
              </w:rPr>
            </w:pPr>
            <w:r w:rsidRPr="00D06DE4">
              <w:rPr>
                <w:rFonts w:ascii="Arial" w:eastAsia="Times New Roman" w:hAnsi="Arial" w:cs="Arial"/>
                <w:bCs/>
                <w:szCs w:val="18"/>
                <w:lang w:eastAsia="ru-RU"/>
              </w:rPr>
              <w:t>Комплектность-матрас, трубки-воздуховоды, компрессор, шнур питания, ремонтный комплект, инструкция, гарантийный талон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E70AA2" w:rsidRDefault="00E70AA2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0AA2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E70AA2" w:rsidRDefault="00E70AA2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70AA2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E4" w:rsidRPr="00E70AA2" w:rsidRDefault="00E70AA2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70AA2">
              <w:rPr>
                <w:rFonts w:ascii="Times New Roman" w:hAnsi="Times New Roman" w:cs="Times New Roman"/>
                <w:color w:val="000000"/>
                <w:lang w:val="kk-KZ"/>
              </w:rPr>
              <w:t>649 600</w:t>
            </w:r>
          </w:p>
        </w:tc>
      </w:tr>
      <w:tr w:rsidR="00E70AA2" w:rsidRPr="00FC66AB" w:rsidTr="00E70AA2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AA2" w:rsidRDefault="00E70AA2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A2" w:rsidRPr="00D06DE4" w:rsidRDefault="00E70AA2" w:rsidP="00D06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Канюля назальная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подачи кислорода , для взрослых , канюля </w:t>
            </w:r>
            <w:proofErr w:type="spellStart"/>
            <w:r w:rsidR="001918ED">
              <w:rPr>
                <w:rFonts w:ascii="Times New Roman" w:hAnsi="Times New Roman" w:cs="Times New Roman"/>
              </w:rPr>
              <w:t>нащальная</w:t>
            </w:r>
            <w:proofErr w:type="spellEnd"/>
            <w:r w:rsidR="001918ED">
              <w:rPr>
                <w:rFonts w:ascii="Times New Roman" w:hAnsi="Times New Roman" w:cs="Times New Roman"/>
              </w:rPr>
              <w:t xml:space="preserve"> , кислородная , для подачи кислорода при потоке не более 6 л в </w:t>
            </w:r>
            <w:proofErr w:type="spellStart"/>
            <w:r w:rsidR="001918ED">
              <w:rPr>
                <w:rFonts w:ascii="Times New Roman" w:hAnsi="Times New Roman" w:cs="Times New Roman"/>
              </w:rPr>
              <w:t>инуту</w:t>
            </w:r>
            <w:proofErr w:type="spellEnd"/>
            <w:r w:rsidR="001918ED">
              <w:rPr>
                <w:rFonts w:ascii="Times New Roman" w:hAnsi="Times New Roman" w:cs="Times New Roman"/>
              </w:rPr>
              <w:t xml:space="preserve">  с линией подачи о2длиной 213 см ,50 </w:t>
            </w:r>
            <w:proofErr w:type="spellStart"/>
            <w:r w:rsidR="001918ED">
              <w:rPr>
                <w:rFonts w:ascii="Times New Roman" w:hAnsi="Times New Roman" w:cs="Times New Roman"/>
              </w:rPr>
              <w:t>шт</w:t>
            </w:r>
            <w:proofErr w:type="spellEnd"/>
            <w:r w:rsidR="001918E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="001918ED">
              <w:rPr>
                <w:rFonts w:ascii="Times New Roman" w:hAnsi="Times New Roman" w:cs="Times New Roman"/>
              </w:rPr>
              <w:t>уп</w:t>
            </w:r>
            <w:proofErr w:type="spellEnd"/>
            <w:r w:rsidR="001918ED">
              <w:rPr>
                <w:rFonts w:ascii="Times New Roman" w:hAnsi="Times New Roman" w:cs="Times New Roman"/>
              </w:rPr>
              <w:t xml:space="preserve"> Изогнутая , конусовидная , с изгибом учитывающим форму верхней губы для уменьшения раздражения , с возможностью фиксации трубки за ушами и устойчивой к перегибам кислородной трубки , длиной 213 см не содержит латекса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A2" w:rsidRPr="00E70AA2" w:rsidRDefault="001918ED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A2" w:rsidRPr="00E70AA2" w:rsidRDefault="001918ED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AA2" w:rsidRPr="00E70AA2" w:rsidRDefault="001918ED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288 000</w:t>
            </w:r>
          </w:p>
        </w:tc>
      </w:tr>
      <w:tr w:rsidR="001918ED" w:rsidRPr="00FC66AB" w:rsidTr="00E70AA2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ED" w:rsidRDefault="001918ED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ED" w:rsidRDefault="001918ED" w:rsidP="00D06D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голубой МО 5</w:t>
            </w:r>
            <w:r w:rsidR="00CE4880">
              <w:rPr>
                <w:rFonts w:ascii="Times New Roman" w:hAnsi="Times New Roman" w:cs="Times New Roman"/>
              </w:rPr>
              <w:t>(7/0)60 см две иглы колющие С</w:t>
            </w:r>
            <w:proofErr w:type="gramStart"/>
            <w:r w:rsidR="00CE4880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ED" w:rsidRDefault="00CE4880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ED" w:rsidRDefault="00CE4880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ED" w:rsidRDefault="00CE4880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90 000</w:t>
            </w:r>
          </w:p>
        </w:tc>
      </w:tr>
      <w:tr w:rsidR="00CE4880" w:rsidRPr="00FC66AB" w:rsidTr="00E70AA2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80" w:rsidRDefault="00CE4880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CE4880" w:rsidP="00D06D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Пролен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голубой МО 7(6/0) 75 см две иглы колющие С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CE4880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CE4880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CE4880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145 000</w:t>
            </w:r>
          </w:p>
        </w:tc>
      </w:tr>
      <w:tr w:rsidR="00CE4880" w:rsidRPr="00FC66AB" w:rsidTr="00E70AA2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80" w:rsidRDefault="00CE4880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Pr="00CE4880" w:rsidRDefault="00CE4880" w:rsidP="00D06D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Монофил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мононить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полипропиленовая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 окрашенная (синяя), (</w:t>
            </w:r>
            <w:r>
              <w:rPr>
                <w:rFonts w:ascii="Times New Roman" w:hAnsi="Times New Roman" w:cs="Times New Roman"/>
                <w:lang w:val="en-US"/>
              </w:rPr>
              <w:t>USP</w:t>
            </w:r>
            <w:r w:rsidRPr="00CE4880">
              <w:rPr>
                <w:rFonts w:ascii="Times New Roman" w:hAnsi="Times New Roman" w:cs="Times New Roman"/>
              </w:rPr>
              <w:t xml:space="preserve"> 3/0</w:t>
            </w:r>
            <w:r>
              <w:rPr>
                <w:rFonts w:ascii="Times New Roman" w:hAnsi="Times New Roman" w:cs="Times New Roman"/>
              </w:rPr>
              <w:t xml:space="preserve">) метрический 2, 75 см игла колющая </w:t>
            </w:r>
            <w:r w:rsidRPr="00CE48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>
              <w:rPr>
                <w:rFonts w:ascii="Times New Roman" w:hAnsi="Times New Roman" w:cs="Times New Roman"/>
              </w:rPr>
              <w:t>-20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CE4880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CE4880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CE4880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29 000</w:t>
            </w:r>
          </w:p>
        </w:tc>
      </w:tr>
      <w:tr w:rsidR="00CE4880" w:rsidRPr="00FC66AB" w:rsidTr="00E70AA2">
        <w:trPr>
          <w:trHeight w:val="7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80" w:rsidRDefault="00CE4880" w:rsidP="00F56D38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DE3F2D" w:rsidP="00D06D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Монофил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мононить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полипропиленовая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 окрашенная (синяя), (</w:t>
            </w:r>
            <w:r>
              <w:rPr>
                <w:rFonts w:ascii="Times New Roman" w:hAnsi="Times New Roman" w:cs="Times New Roman"/>
                <w:lang w:val="en-US"/>
              </w:rPr>
              <w:t>USP</w:t>
            </w:r>
            <w:r w:rsidR="0036250B">
              <w:rPr>
                <w:rFonts w:ascii="Times New Roman" w:hAnsi="Times New Roman" w:cs="Times New Roman"/>
              </w:rPr>
              <w:t xml:space="preserve"> 2</w:t>
            </w:r>
            <w:r w:rsidRPr="00CE4880">
              <w:rPr>
                <w:rFonts w:ascii="Times New Roman" w:hAnsi="Times New Roman" w:cs="Times New Roman"/>
              </w:rPr>
              <w:t>/0</w:t>
            </w:r>
            <w:r>
              <w:rPr>
                <w:rFonts w:ascii="Times New Roman" w:hAnsi="Times New Roman" w:cs="Times New Roman"/>
              </w:rPr>
              <w:t>)</w:t>
            </w:r>
            <w:r w:rsidR="0036250B">
              <w:rPr>
                <w:rFonts w:ascii="Times New Roman" w:hAnsi="Times New Roman" w:cs="Times New Roman"/>
              </w:rPr>
              <w:t xml:space="preserve"> метрический 3</w:t>
            </w:r>
            <w:r>
              <w:rPr>
                <w:rFonts w:ascii="Times New Roman" w:hAnsi="Times New Roman" w:cs="Times New Roman"/>
              </w:rPr>
              <w:t xml:space="preserve">, 75 см игла колющая </w:t>
            </w:r>
            <w:r w:rsidRPr="00CE48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="0036250B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</w:rPr>
              <w:t>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36250B" w:rsidP="005C00E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36250B" w:rsidP="008624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880" w:rsidRDefault="0036250B" w:rsidP="008624D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29 000</w:t>
            </w:r>
            <w:bookmarkStart w:id="0" w:name="_GoBack"/>
            <w:bookmarkEnd w:id="0"/>
          </w:p>
        </w:tc>
      </w:tr>
    </w:tbl>
    <w:p w:rsidR="00E67B72" w:rsidRDefault="00E67B72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proofErr w:type="gramStart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аключения</w:t>
      </w:r>
      <w:proofErr w:type="gramEnd"/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договоров в течение </w:t>
      </w:r>
      <w:r w:rsidR="00E70A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30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r w:rsidRPr="001219A4">
        <w:rPr>
          <w:rFonts w:ascii="Times New Roman" w:hAnsi="Times New Roman" w:cs="Times New Roman"/>
          <w:sz w:val="24"/>
          <w:szCs w:val="24"/>
        </w:rPr>
        <w:t>. 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 xml:space="preserve"> Место предо</w:t>
      </w:r>
      <w:r>
        <w:rPr>
          <w:rFonts w:ascii="Times New Roman" w:hAnsi="Times New Roman" w:cs="Times New Roman"/>
          <w:sz w:val="24"/>
          <w:szCs w:val="24"/>
        </w:rPr>
        <w:t>ставления(пр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:00 часов </w:t>
      </w:r>
      <w:r w:rsidR="00E70AA2">
        <w:rPr>
          <w:rFonts w:ascii="Times New Roman" w:hAnsi="Times New Roman" w:cs="Times New Roman"/>
          <w:b/>
          <w:color w:val="FF0000"/>
          <w:sz w:val="24"/>
          <w:szCs w:val="24"/>
        </w:rPr>
        <w:t>21</w:t>
      </w:r>
      <w:r w:rsidR="00E67B72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октября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2021года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196">
        <w:rPr>
          <w:rFonts w:ascii="Times New Roman" w:hAnsi="Times New Roman" w:cs="Times New Roman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09:30</w:t>
      </w:r>
      <w:r w:rsidR="00E70AA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2</w:t>
      </w:r>
      <w:r w:rsidR="00E67B72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1 октября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21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D2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E70AA2" w:rsidRDefault="009220C9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услуг.</w:t>
      </w: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Default="00E70AA2" w:rsidP="00E70AA2">
      <w:pPr>
        <w:widowControl w:val="0"/>
        <w:spacing w:after="0" w:line="240" w:lineRule="atLeast"/>
        <w:ind w:firstLine="317"/>
        <w:jc w:val="both"/>
        <w:rPr>
          <w:rStyle w:val="s1"/>
          <w:b w:val="0"/>
          <w:sz w:val="24"/>
          <w:szCs w:val="24"/>
        </w:rPr>
      </w:pPr>
    </w:p>
    <w:p w:rsidR="00E70AA2" w:rsidRPr="00E70AA2" w:rsidRDefault="00E70AA2" w:rsidP="00E70AA2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70AA2" w:rsidRDefault="00E70AA2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70AA2" w:rsidRDefault="00E70AA2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70AA2" w:rsidRDefault="00E70AA2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EE4634" w:rsidRDefault="00EE4634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9220C9" w:rsidRPr="00E70AA2" w:rsidRDefault="009220C9" w:rsidP="003B774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12</w:t>
      </w: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к приказу Министра здравоохранения и</w:t>
      </w: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социального развития Республики Казахстан</w:t>
      </w: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от __ ______ 201__ года №__ Форма</w:t>
      </w:r>
    </w:p>
    <w:p w:rsidR="009220C9" w:rsidRPr="00E70AA2" w:rsidRDefault="009220C9" w:rsidP="009220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0A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Ценовое предложение потенциального поставщика</w:t>
      </w:r>
      <w:r w:rsidRPr="00E70AA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9220C9" w:rsidRPr="00E70AA2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t>Лот № ____</w:t>
      </w:r>
    </w:p>
    <w:tbl>
      <w:tblPr>
        <w:tblW w:w="11482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7371"/>
        <w:gridCol w:w="3260"/>
      </w:tblGrid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Завод-изготовитель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220C9" w:rsidRPr="00E70AA2" w:rsidTr="003B7741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3B77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</w:t>
            </w:r>
            <w:proofErr w:type="gramEnd"/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20C9" w:rsidRPr="00E70AA2" w:rsidRDefault="009220C9" w:rsidP="002A3E9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70AA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</w:tbl>
    <w:p w:rsidR="009220C9" w:rsidRPr="00E70AA2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_________ Печать (при наличии) ____________________________________________________</w:t>
      </w:r>
      <w:r w:rsidRPr="00E70AA2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9220C9" w:rsidRPr="00FC2C21" w:rsidRDefault="009220C9" w:rsidP="009220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Cs w:val="0"/>
          <w:sz w:val="24"/>
          <w:szCs w:val="24"/>
        </w:rPr>
        <w:t xml:space="preserve"> 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lastRenderedPageBreak/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7F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65D60"/>
    <w:rsid w:val="00072AEC"/>
    <w:rsid w:val="00073575"/>
    <w:rsid w:val="00076A8F"/>
    <w:rsid w:val="00083FBA"/>
    <w:rsid w:val="000944FE"/>
    <w:rsid w:val="0009711A"/>
    <w:rsid w:val="000A0E94"/>
    <w:rsid w:val="000B1AC2"/>
    <w:rsid w:val="000B49FA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506A"/>
    <w:rsid w:val="001457FF"/>
    <w:rsid w:val="00151895"/>
    <w:rsid w:val="0015296F"/>
    <w:rsid w:val="00163D51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E5FC0"/>
    <w:rsid w:val="001E73CD"/>
    <w:rsid w:val="001F6702"/>
    <w:rsid w:val="00200ED5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7115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7741"/>
    <w:rsid w:val="003C1DCA"/>
    <w:rsid w:val="003D108B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931C1"/>
    <w:rsid w:val="004A1902"/>
    <w:rsid w:val="004A540D"/>
    <w:rsid w:val="004B11B4"/>
    <w:rsid w:val="004B1515"/>
    <w:rsid w:val="004B314C"/>
    <w:rsid w:val="004B33F3"/>
    <w:rsid w:val="004B3975"/>
    <w:rsid w:val="004C3D0F"/>
    <w:rsid w:val="004D44A9"/>
    <w:rsid w:val="004E4B51"/>
    <w:rsid w:val="004F0ECA"/>
    <w:rsid w:val="00502F6C"/>
    <w:rsid w:val="00520C6F"/>
    <w:rsid w:val="0053375A"/>
    <w:rsid w:val="005345A5"/>
    <w:rsid w:val="00534736"/>
    <w:rsid w:val="005473E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5569"/>
    <w:rsid w:val="005838B4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32840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1051B"/>
    <w:rsid w:val="0073305B"/>
    <w:rsid w:val="0074174D"/>
    <w:rsid w:val="00743353"/>
    <w:rsid w:val="00743FA2"/>
    <w:rsid w:val="0075191D"/>
    <w:rsid w:val="00761B95"/>
    <w:rsid w:val="00783030"/>
    <w:rsid w:val="00791C43"/>
    <w:rsid w:val="00795731"/>
    <w:rsid w:val="007A3D83"/>
    <w:rsid w:val="007B1410"/>
    <w:rsid w:val="007B392C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2B84"/>
    <w:rsid w:val="00825F9F"/>
    <w:rsid w:val="00833F22"/>
    <w:rsid w:val="00845099"/>
    <w:rsid w:val="00857B04"/>
    <w:rsid w:val="008624D2"/>
    <w:rsid w:val="008727F4"/>
    <w:rsid w:val="00877E32"/>
    <w:rsid w:val="008810BB"/>
    <w:rsid w:val="008846E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2558"/>
    <w:rsid w:val="00947661"/>
    <w:rsid w:val="00955535"/>
    <w:rsid w:val="009636D2"/>
    <w:rsid w:val="00963872"/>
    <w:rsid w:val="00963C80"/>
    <w:rsid w:val="00963DFB"/>
    <w:rsid w:val="0096447F"/>
    <w:rsid w:val="0097515A"/>
    <w:rsid w:val="00980530"/>
    <w:rsid w:val="00984B4F"/>
    <w:rsid w:val="00986DC0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6B58"/>
    <w:rsid w:val="00A241D7"/>
    <w:rsid w:val="00A24AFB"/>
    <w:rsid w:val="00A30DF0"/>
    <w:rsid w:val="00A325A3"/>
    <w:rsid w:val="00A415DF"/>
    <w:rsid w:val="00A5013F"/>
    <w:rsid w:val="00A52F84"/>
    <w:rsid w:val="00A558AA"/>
    <w:rsid w:val="00A77787"/>
    <w:rsid w:val="00A778FF"/>
    <w:rsid w:val="00A93026"/>
    <w:rsid w:val="00A9512E"/>
    <w:rsid w:val="00AA2018"/>
    <w:rsid w:val="00AA226A"/>
    <w:rsid w:val="00AB1D87"/>
    <w:rsid w:val="00AB277A"/>
    <w:rsid w:val="00AB7FA3"/>
    <w:rsid w:val="00AC7DD5"/>
    <w:rsid w:val="00AD5D8F"/>
    <w:rsid w:val="00AE08A7"/>
    <w:rsid w:val="00B04FEA"/>
    <w:rsid w:val="00B052E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264F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31F9"/>
    <w:rsid w:val="00D06DE4"/>
    <w:rsid w:val="00D13378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67C5"/>
    <w:rsid w:val="00D76980"/>
    <w:rsid w:val="00D76EE0"/>
    <w:rsid w:val="00D81A35"/>
    <w:rsid w:val="00D81D82"/>
    <w:rsid w:val="00D90C39"/>
    <w:rsid w:val="00D92AF0"/>
    <w:rsid w:val="00DA4263"/>
    <w:rsid w:val="00DA5F99"/>
    <w:rsid w:val="00DB11EB"/>
    <w:rsid w:val="00DB3BBC"/>
    <w:rsid w:val="00DD0E58"/>
    <w:rsid w:val="00DD1F1E"/>
    <w:rsid w:val="00DE2B74"/>
    <w:rsid w:val="00DE3F2D"/>
    <w:rsid w:val="00DE5005"/>
    <w:rsid w:val="00DF00A2"/>
    <w:rsid w:val="00E06E3C"/>
    <w:rsid w:val="00E17575"/>
    <w:rsid w:val="00E21BFD"/>
    <w:rsid w:val="00E232F5"/>
    <w:rsid w:val="00E270C6"/>
    <w:rsid w:val="00E5500D"/>
    <w:rsid w:val="00E624DE"/>
    <w:rsid w:val="00E67B72"/>
    <w:rsid w:val="00E70AA2"/>
    <w:rsid w:val="00E80EBC"/>
    <w:rsid w:val="00E83F41"/>
    <w:rsid w:val="00E97D42"/>
    <w:rsid w:val="00EA0422"/>
    <w:rsid w:val="00EA2440"/>
    <w:rsid w:val="00EA49D7"/>
    <w:rsid w:val="00EA7B71"/>
    <w:rsid w:val="00EB2134"/>
    <w:rsid w:val="00EB2DBE"/>
    <w:rsid w:val="00ED4A0F"/>
    <w:rsid w:val="00EE4634"/>
    <w:rsid w:val="00EE64C8"/>
    <w:rsid w:val="00EF2255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68BD"/>
    <w:rsid w:val="00FE19A8"/>
    <w:rsid w:val="00F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114EB-ACCB-442C-8D65-5D984498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</TotalTime>
  <Pages>5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391</cp:revision>
  <cp:lastPrinted>2021-02-02T12:14:00Z</cp:lastPrinted>
  <dcterms:created xsi:type="dcterms:W3CDTF">2018-01-25T10:18:00Z</dcterms:created>
  <dcterms:modified xsi:type="dcterms:W3CDTF">2021-10-14T11:15:00Z</dcterms:modified>
</cp:coreProperties>
</file>