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CB2A1C">
        <w:rPr>
          <w:rFonts w:ascii="Times New Roman" w:hAnsi="Times New Roman" w:cs="Times New Roman"/>
          <w:b/>
          <w:sz w:val="24"/>
          <w:szCs w:val="24"/>
        </w:rPr>
        <w:t xml:space="preserve"> №6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819"/>
        <w:gridCol w:w="992"/>
        <w:gridCol w:w="1134"/>
        <w:gridCol w:w="1134"/>
      </w:tblGrid>
      <w:tr w:rsidR="00E251EF" w:rsidRPr="00FC66AB" w:rsidTr="00E251EF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251EF" w:rsidRPr="00FC66AB" w:rsidTr="00E251E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roofErr w:type="spellStart"/>
            <w:r>
              <w:t>Нифедипин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r>
              <w:t>10 мг таблетка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Pr>
              <w:jc w:val="center"/>
            </w:pP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142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</w:tr>
      <w:tr w:rsidR="00E251EF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r>
              <w:t xml:space="preserve">Папаверин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Pr>
              <w:rPr>
                <w:color w:val="000000"/>
              </w:rPr>
            </w:pPr>
            <w:r>
              <w:rPr>
                <w:color w:val="000000"/>
              </w:rPr>
              <w:t>раствор для инъекций 2% по 2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142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25 200</w:t>
            </w:r>
          </w:p>
        </w:tc>
      </w:tr>
      <w:tr w:rsidR="00E251EF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roofErr w:type="spellStart"/>
            <w:r>
              <w:t>Пентоксифиллин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Pr>
              <w:rPr>
                <w:color w:val="000000"/>
              </w:rPr>
            </w:pPr>
            <w:r>
              <w:rPr>
                <w:color w:val="000000"/>
              </w:rPr>
              <w:t>раствор для инъекций 2%, 5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142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102 920</w:t>
            </w:r>
          </w:p>
        </w:tc>
      </w:tr>
      <w:tr w:rsidR="00E251EF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FD7F26">
            <w:proofErr w:type="spellStart"/>
            <w:r>
              <w:t>Фитоменадион</w:t>
            </w:r>
            <w:proofErr w:type="spellEnd"/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r>
              <w:t xml:space="preserve">10 мг/мл 1 мл </w:t>
            </w:r>
            <w:proofErr w:type="gramStart"/>
            <w:r>
              <w:t xml:space="preserve">( </w:t>
            </w:r>
            <w:proofErr w:type="gramEnd"/>
            <w:r>
              <w:t>№5)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FD7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66 370</w:t>
            </w:r>
          </w:p>
        </w:tc>
      </w:tr>
      <w:tr w:rsidR="00FD7F26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6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r>
              <w:t xml:space="preserve">Аммиак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r>
              <w:t>Раствор во флаконе 10%20,0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8122</w:t>
            </w:r>
          </w:p>
        </w:tc>
      </w:tr>
      <w:tr w:rsidR="00FD7F26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6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r>
              <w:t>Ацетилсалициловая кислота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r>
              <w:t xml:space="preserve">Таблетка 500 мг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pPr>
              <w:jc w:val="center"/>
            </w:pP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11 820</w:t>
            </w:r>
          </w:p>
        </w:tc>
      </w:tr>
      <w:tr w:rsidR="00FD7F26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6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r>
              <w:t xml:space="preserve">Бриллиантовый зеленый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r>
              <w:t>Раствор 1%20,0(</w:t>
            </w:r>
            <w:proofErr w:type="spellStart"/>
            <w:r>
              <w:t>спиртовый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FD7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C85A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4286</w:t>
            </w:r>
          </w:p>
        </w:tc>
      </w:tr>
      <w:tr w:rsidR="00C85AD0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D0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 w:rsidP="00C85AD0">
            <w:proofErr w:type="spellStart"/>
            <w:r>
              <w:t>Дигоксин</w:t>
            </w:r>
            <w:proofErr w:type="spellEnd"/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>
            <w:r>
              <w:t>Раствор для инъекций 0,25мг/мл 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14 640</w:t>
            </w:r>
          </w:p>
        </w:tc>
      </w:tr>
      <w:tr w:rsidR="00C85AD0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D0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 w:rsidP="00C85AD0">
            <w:proofErr w:type="spellStart"/>
            <w:r>
              <w:t>Дидрогестерон</w:t>
            </w:r>
            <w:proofErr w:type="spellEnd"/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>
            <w:r>
              <w:t xml:space="preserve"> </w:t>
            </w:r>
            <w:proofErr w:type="spellStart"/>
            <w:proofErr w:type="gramStart"/>
            <w:r>
              <w:t>Таб</w:t>
            </w:r>
            <w:proofErr w:type="spellEnd"/>
            <w:proofErr w:type="gramEnd"/>
            <w:r>
              <w:t xml:space="preserve"> 10 мг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>
            <w:pPr>
              <w:jc w:val="center"/>
            </w:pP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111 504</w:t>
            </w:r>
          </w:p>
        </w:tc>
      </w:tr>
      <w:tr w:rsidR="00C85AD0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D0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 w:rsidP="00C85AD0">
            <w:r>
              <w:t xml:space="preserve">Йод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C85AD0">
            <w:r>
              <w:t xml:space="preserve">Раствор </w:t>
            </w:r>
            <w:proofErr w:type="spellStart"/>
            <w:r>
              <w:t>спиртовый</w:t>
            </w:r>
            <w:proofErr w:type="spellEnd"/>
            <w:r>
              <w:t xml:space="preserve"> </w:t>
            </w:r>
            <w:r w:rsidR="00062C65">
              <w:t>5%10,0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062C65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062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D0" w:rsidRDefault="00062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2472</w:t>
            </w:r>
          </w:p>
        </w:tc>
      </w:tr>
      <w:tr w:rsidR="00062C65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65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 w:rsidP="00C85AD0">
            <w:r>
              <w:t xml:space="preserve">Перекись водорода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r>
              <w:t xml:space="preserve">3%90 мл или 100 мл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7068</w:t>
            </w:r>
          </w:p>
        </w:tc>
      </w:tr>
      <w:tr w:rsidR="00062C65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65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 w:rsidP="00C85AD0">
            <w:r>
              <w:t xml:space="preserve">Тетрациклин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r>
              <w:t>Мазь глазная 1%10,0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pPr>
              <w:jc w:val="center"/>
            </w:pPr>
            <w:r>
              <w:t>туб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23 896</w:t>
            </w:r>
          </w:p>
        </w:tc>
      </w:tr>
      <w:tr w:rsidR="00062C65" w:rsidRPr="00FC66AB" w:rsidTr="00E251EF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65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 w:rsidP="00C85AD0">
            <w:r>
              <w:t>Тиамин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r>
              <w:t>Раствор для инъекции 5%1,0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65" w:rsidRDefault="00062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21960</w:t>
            </w:r>
          </w:p>
        </w:tc>
      </w:tr>
      <w:tr w:rsidR="00540CA9" w:rsidRPr="00FC66AB" w:rsidTr="00CE4F88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A9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Шприц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pPr>
              <w:rPr>
                <w:color w:val="000000"/>
              </w:rPr>
            </w:pPr>
            <w:r>
              <w:rPr>
                <w:color w:val="000000"/>
              </w:rPr>
              <w:t xml:space="preserve">2,0 мл </w:t>
            </w:r>
            <w:proofErr w:type="spellStart"/>
            <w:r>
              <w:rPr>
                <w:color w:val="000000"/>
              </w:rPr>
              <w:t>трёхкоипонентный</w:t>
            </w:r>
            <w:proofErr w:type="spellEnd"/>
            <w:r>
              <w:rPr>
                <w:color w:val="000000"/>
              </w:rPr>
              <w:t>,  одноразовый,  стерильный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CA9" w:rsidRDefault="00540C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CA9" w:rsidRDefault="00540C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1 527 600</w:t>
            </w:r>
          </w:p>
        </w:tc>
      </w:tr>
      <w:tr w:rsidR="00540CA9" w:rsidRPr="00FC66AB" w:rsidTr="00CE4F88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A9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Шприц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pPr>
              <w:rPr>
                <w:color w:val="000000"/>
              </w:rPr>
            </w:pPr>
            <w:r>
              <w:rPr>
                <w:color w:val="000000"/>
              </w:rPr>
              <w:t xml:space="preserve">5,0 мл </w:t>
            </w:r>
            <w:proofErr w:type="spellStart"/>
            <w:r>
              <w:rPr>
                <w:color w:val="000000"/>
              </w:rPr>
              <w:t>трёхкоипонентный</w:t>
            </w:r>
            <w:proofErr w:type="spellEnd"/>
            <w:r>
              <w:rPr>
                <w:color w:val="000000"/>
              </w:rPr>
              <w:t>,  одноразовый,  стерильный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CA9" w:rsidRDefault="00540C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CA9" w:rsidRDefault="001C4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1 350 000</w:t>
            </w:r>
          </w:p>
        </w:tc>
      </w:tr>
      <w:tr w:rsidR="00540CA9" w:rsidRPr="00FC66AB" w:rsidTr="00CE4F88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A9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Шприц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pPr>
              <w:rPr>
                <w:color w:val="000000"/>
              </w:rPr>
            </w:pPr>
            <w:r>
              <w:rPr>
                <w:color w:val="000000"/>
              </w:rPr>
              <w:t xml:space="preserve">10,0 мл </w:t>
            </w:r>
            <w:proofErr w:type="spellStart"/>
            <w:r>
              <w:rPr>
                <w:color w:val="000000"/>
              </w:rPr>
              <w:t>трёхкоипонентный</w:t>
            </w:r>
            <w:proofErr w:type="spellEnd"/>
            <w:r>
              <w:rPr>
                <w:color w:val="000000"/>
              </w:rPr>
              <w:t>,  одноразовый,  стерильный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CA9" w:rsidRDefault="00540C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CA9" w:rsidRDefault="001C4E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2 413 200</w:t>
            </w:r>
          </w:p>
        </w:tc>
      </w:tr>
      <w:tr w:rsidR="00540CA9" w:rsidRPr="00FC66AB" w:rsidTr="00CE4F88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A9" w:rsidRDefault="00B928C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Шприц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r>
              <w:t xml:space="preserve">20,0 мл </w:t>
            </w:r>
            <w:proofErr w:type="spellStart"/>
            <w:r>
              <w:t>трёхкоипонентный</w:t>
            </w:r>
            <w:proofErr w:type="spellEnd"/>
            <w:r>
              <w:t>,  одноразовый,  стерильный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A9" w:rsidRDefault="00540CA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CA9" w:rsidRDefault="00540C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CA9" w:rsidRDefault="00980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1 258 800</w:t>
            </w:r>
          </w:p>
        </w:tc>
      </w:tr>
    </w:tbl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203D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поставки до 31.12.2022г</w:t>
      </w:r>
      <w:r w:rsidR="00E251EF" w:rsidRPr="00E251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291E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февраля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09 февраля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B92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0DA2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928CA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44B66"/>
    <w:rsid w:val="00E5500D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6750-C9CC-43D7-B439-EE5FEFB0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4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412</cp:revision>
  <cp:lastPrinted>2022-01-11T09:27:00Z</cp:lastPrinted>
  <dcterms:created xsi:type="dcterms:W3CDTF">2018-01-25T10:18:00Z</dcterms:created>
  <dcterms:modified xsi:type="dcterms:W3CDTF">2022-02-02T09:58:00Z</dcterms:modified>
</cp:coreProperties>
</file>