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CF7A37">
        <w:rPr>
          <w:rFonts w:ascii="Times New Roman" w:hAnsi="Times New Roman" w:cs="Times New Roman"/>
          <w:b/>
          <w:sz w:val="24"/>
          <w:szCs w:val="24"/>
        </w:rPr>
        <w:t xml:space="preserve"> №3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482" w:type="dxa"/>
        <w:tblInd w:w="-601" w:type="dxa"/>
        <w:tblLayout w:type="fixed"/>
        <w:tblLook w:val="04A0"/>
      </w:tblPr>
      <w:tblGrid>
        <w:gridCol w:w="709"/>
        <w:gridCol w:w="3261"/>
        <w:gridCol w:w="3260"/>
        <w:gridCol w:w="1134"/>
        <w:gridCol w:w="1417"/>
        <w:gridCol w:w="1701"/>
      </w:tblGrid>
      <w:tr w:rsidR="00E251EF" w:rsidRPr="00FC66AB" w:rsidTr="00CF7A37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9620A0" w:rsidP="00E2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Лекарственная </w:t>
            </w:r>
            <w:r w:rsidR="00E251EF" w:rsidRP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251EF" w:rsidRPr="00FC66AB" w:rsidTr="00CF7A37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EF" w:rsidRPr="00E67B72" w:rsidRDefault="00CF7A37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CF7A37">
            <w:r w:rsidRPr="00CF7A37">
              <w:t xml:space="preserve">Иммунологический тест на определение уровня </w:t>
            </w:r>
            <w:proofErr w:type="spellStart"/>
            <w:r w:rsidRPr="00CF7A37">
              <w:t>Тропонина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A37" w:rsidRDefault="00CF7A37" w:rsidP="00CF7A37">
            <w:pPr>
              <w:rPr>
                <w:sz w:val="24"/>
                <w:szCs w:val="24"/>
              </w:rPr>
            </w:pPr>
            <w:r>
              <w:t xml:space="preserve">Набор для </w:t>
            </w:r>
            <w:proofErr w:type="spellStart"/>
            <w:r>
              <w:t>иммунофлуоресцентного</w:t>
            </w:r>
            <w:proofErr w:type="spellEnd"/>
            <w:r>
              <w:t xml:space="preserve"> анализа, </w:t>
            </w:r>
            <w:proofErr w:type="spellStart"/>
            <w:r>
              <w:t>предназначенныйдля</w:t>
            </w:r>
            <w:proofErr w:type="spellEnd"/>
            <w:r>
              <w:t xml:space="preserve"> количественного определения </w:t>
            </w:r>
            <w:proofErr w:type="spellStart"/>
            <w:r>
              <w:t>тропонина</w:t>
            </w:r>
            <w:proofErr w:type="spellEnd"/>
            <w:r>
              <w:br/>
              <w:t>I в образцах цельной крови или плазмы, защищенных от свертывания с помощью EDTA. Тест</w:t>
            </w:r>
            <w:r>
              <w:br/>
              <w:t>используется в качестве вспомогательного средства диагностики инфаркта (поражения) миокарда.</w:t>
            </w:r>
            <w:r>
              <w:br/>
            </w:r>
            <w:proofErr w:type="gramStart"/>
            <w:r>
              <w:t>Определяемые</w:t>
            </w:r>
            <w:proofErr w:type="gramEnd"/>
            <w:r>
              <w:t xml:space="preserve"> маркер:</w:t>
            </w:r>
            <w:r>
              <w:br/>
            </w:r>
            <w:proofErr w:type="spellStart"/>
            <w:r>
              <w:t>Troponin</w:t>
            </w:r>
            <w:proofErr w:type="spellEnd"/>
            <w:r>
              <w:t xml:space="preserve"> I – высокочувствительный кардиологический </w:t>
            </w:r>
            <w:proofErr w:type="spellStart"/>
            <w:r>
              <w:t>тропонин</w:t>
            </w:r>
            <w:proofErr w:type="spellEnd"/>
            <w:r>
              <w:t xml:space="preserve"> I;</w:t>
            </w:r>
            <w:r>
              <w:br/>
              <w:t>Для проведения анализа с помощью данного изделия требуется образец цельной крови или плазмы, полученный из вены, с добавлением антикоагулянта EDTA. Для достижения оптимальных результатов при взятии образцов рекомендуется использовать пластмассовые пробирки с покрытием из K2[EDTA].</w:t>
            </w:r>
            <w:r>
              <w:br/>
              <w:t>Диапазоны измерений:</w:t>
            </w:r>
            <w:r>
              <w:br/>
            </w:r>
            <w:proofErr w:type="spellStart"/>
            <w:r>
              <w:t>Тропонин</w:t>
            </w:r>
            <w:proofErr w:type="spellEnd"/>
            <w:r>
              <w:t xml:space="preserve"> I:  0,01—10 </w:t>
            </w:r>
            <w:proofErr w:type="spellStart"/>
            <w:r>
              <w:t>нг</w:t>
            </w:r>
            <w:proofErr w:type="spellEnd"/>
            <w:r>
              <w:t>/мл</w:t>
            </w:r>
            <w:r>
              <w:br/>
              <w:t xml:space="preserve">Время измерения – не более  15 минут. Принцип измерения </w:t>
            </w:r>
            <w:proofErr w:type="spellStart"/>
            <w:r>
              <w:t>иммунофлуоресценция</w:t>
            </w:r>
            <w:proofErr w:type="spellEnd"/>
            <w:r>
              <w:t xml:space="preserve">. </w:t>
            </w:r>
            <w:r>
              <w:br/>
            </w:r>
            <w:r>
              <w:lastRenderedPageBreak/>
              <w:t>Тестовые панели следует хранить в холодильнике при температуре 2—8 °C.</w:t>
            </w:r>
            <w:r>
              <w:br/>
              <w:t xml:space="preserve">В набор входят: </w:t>
            </w:r>
            <w:r>
              <w:br/>
              <w:t>25 тестовых панелей</w:t>
            </w:r>
            <w:r>
              <w:br/>
              <w:t>25 пипеток для переноса образца</w:t>
            </w:r>
            <w:r>
              <w:br/>
              <w:t>1 модуль CODE CHIP™ для реагентов</w:t>
            </w:r>
            <w:r>
              <w:br/>
              <w:t xml:space="preserve">Набор для </w:t>
            </w:r>
            <w:proofErr w:type="spellStart"/>
            <w:r>
              <w:t>иммунофлуоресцентного</w:t>
            </w:r>
            <w:proofErr w:type="spellEnd"/>
            <w:r>
              <w:t xml:space="preserve"> анализа, </w:t>
            </w:r>
            <w:proofErr w:type="spellStart"/>
            <w:r>
              <w:t>предназначенныйдля</w:t>
            </w:r>
            <w:proofErr w:type="spellEnd"/>
            <w:r>
              <w:t xml:space="preserve"> количественного определения </w:t>
            </w:r>
            <w:proofErr w:type="spellStart"/>
            <w:r>
              <w:t>тропонина</w:t>
            </w:r>
            <w:proofErr w:type="spellEnd"/>
            <w:r>
              <w:br/>
              <w:t>I в образцах цельной крови или плазмы, защищенных от свертывания с помощью EDTA. Тест</w:t>
            </w:r>
            <w:r>
              <w:br/>
              <w:t>используется в качестве вспомогательного средства диагностики инфаркта (поражения) миокарда.</w:t>
            </w:r>
            <w:r>
              <w:br/>
            </w:r>
            <w:proofErr w:type="gramStart"/>
            <w:r>
              <w:t>Определяемые</w:t>
            </w:r>
            <w:proofErr w:type="gramEnd"/>
            <w:r>
              <w:t xml:space="preserve"> маркер:</w:t>
            </w:r>
            <w:r>
              <w:br/>
            </w:r>
            <w:proofErr w:type="spellStart"/>
            <w:r>
              <w:t>Troponin</w:t>
            </w:r>
            <w:proofErr w:type="spellEnd"/>
            <w:r>
              <w:t xml:space="preserve"> I – высокочувствительный кардиологический </w:t>
            </w:r>
            <w:proofErr w:type="spellStart"/>
            <w:r>
              <w:t>тропонин</w:t>
            </w:r>
            <w:proofErr w:type="spellEnd"/>
            <w:r>
              <w:t xml:space="preserve"> I;</w:t>
            </w:r>
            <w:r>
              <w:br/>
              <w:t>Для проведения анализа с помощью данного изделия требуется образец цельной крови или плазмы, полученный из вены, с добавлением антикоагулянта EDTA. Для достижения оптимальных результатов при взятии образцов рекомендуется использовать пластмассовые пробирки с покрытием из K2[EDTA].</w:t>
            </w:r>
            <w:r>
              <w:br/>
              <w:t>Диапазоны измерений:</w:t>
            </w:r>
            <w:r>
              <w:br/>
            </w:r>
            <w:proofErr w:type="spellStart"/>
            <w:r>
              <w:t>Тропонин</w:t>
            </w:r>
            <w:proofErr w:type="spellEnd"/>
            <w:r>
              <w:t xml:space="preserve"> I:  0,01—10 </w:t>
            </w:r>
            <w:proofErr w:type="spellStart"/>
            <w:r>
              <w:t>нг</w:t>
            </w:r>
            <w:proofErr w:type="spellEnd"/>
            <w:r>
              <w:t>/мл</w:t>
            </w:r>
            <w:r>
              <w:br/>
              <w:t xml:space="preserve">Время измерения – не более  15 минут. Принцип измерения </w:t>
            </w:r>
            <w:proofErr w:type="spellStart"/>
            <w:r>
              <w:t>иммунофлуоресценция</w:t>
            </w:r>
            <w:proofErr w:type="spellEnd"/>
            <w:r>
              <w:t xml:space="preserve">. </w:t>
            </w:r>
            <w:r>
              <w:br/>
              <w:t>Тестовые панели следует хранить в холодильнике при температуре 2—8 °C.</w:t>
            </w:r>
            <w:r>
              <w:br/>
              <w:t xml:space="preserve">В набор входят: </w:t>
            </w:r>
            <w:r>
              <w:br/>
              <w:t>25 тестовых панелей</w:t>
            </w:r>
            <w:r>
              <w:br/>
              <w:t>25 пипеток для переноса образца</w:t>
            </w:r>
            <w:r>
              <w:br/>
              <w:t>1 модуль CODE CHIP™ для реагентов</w:t>
            </w:r>
          </w:p>
          <w:p w:rsidR="00E251EF" w:rsidRDefault="00E251E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CF7A37">
            <w:pPr>
              <w:jc w:val="center"/>
            </w:pPr>
            <w:proofErr w:type="spellStart"/>
            <w:r>
              <w:lastRenderedPageBreak/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7A10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7A10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1 616 000</w:t>
            </w:r>
          </w:p>
        </w:tc>
      </w:tr>
      <w:tr w:rsidR="00E251EF" w:rsidRPr="00FC66AB" w:rsidTr="00CF7A37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EF" w:rsidRDefault="00CF7A37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CF7A37">
            <w:r w:rsidRPr="00CF7A37">
              <w:t>Система забора и диагностика крови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A37" w:rsidRDefault="00CF7A37" w:rsidP="00CF7A37">
            <w:r>
              <w:t xml:space="preserve">Оптимальное решение для быстрой диагностики критических состояний. Благодаря уникальной технологии </w:t>
            </w:r>
            <w:proofErr w:type="spellStart"/>
            <w:r>
              <w:t>SmartCard</w:t>
            </w:r>
            <w:proofErr w:type="spellEnd"/>
            <w:r>
              <w:t xml:space="preserve"> (со встроенным </w:t>
            </w:r>
            <w:proofErr w:type="spellStart"/>
            <w:r>
              <w:t>биосенсорным</w:t>
            </w:r>
            <w:proofErr w:type="spellEnd"/>
            <w:r>
              <w:t xml:space="preserve"> чипом)</w:t>
            </w:r>
          </w:p>
          <w:p w:rsidR="00CF7A37" w:rsidRDefault="00CF7A37" w:rsidP="00CF7A37">
            <w:r>
              <w:t xml:space="preserve">-Каждая измерительная карта одноразового использования оснащена технологией </w:t>
            </w:r>
            <w:proofErr w:type="spellStart"/>
            <w:r>
              <w:t>SmartCard</w:t>
            </w:r>
            <w:proofErr w:type="spellEnd"/>
            <w:r>
              <w:t xml:space="preserve"> и содержит полный набор </w:t>
            </w:r>
            <w:proofErr w:type="spellStart"/>
            <w:r>
              <w:t>аналитов</w:t>
            </w:r>
            <w:proofErr w:type="spellEnd"/>
            <w:r>
              <w:t xml:space="preserve"> для проведения исследований.</w:t>
            </w:r>
          </w:p>
          <w:p w:rsidR="00CF7A37" w:rsidRDefault="00CF7A37" w:rsidP="00CF7A37">
            <w:r>
              <w:t>Система позволяет интегрироваться в информационные медицинские базы данных (LIS, HIS).</w:t>
            </w:r>
          </w:p>
          <w:p w:rsidR="00CF7A37" w:rsidRDefault="00CF7A37" w:rsidP="00CF7A37">
            <w:r>
              <w:t>-</w:t>
            </w:r>
            <w:proofErr w:type="spellStart"/>
            <w:proofErr w:type="gramStart"/>
            <w:r>
              <w:t>Тест-карты</w:t>
            </w:r>
            <w:proofErr w:type="spellEnd"/>
            <w:proofErr w:type="gramEnd"/>
            <w:r>
              <w:t xml:space="preserve"> не нуждаются в специальном температурном режиме, могут использоваться вместе с анализатором в любой момент и в любом месте, где требуется экстренная медицинская помощь.</w:t>
            </w:r>
          </w:p>
          <w:p w:rsidR="00CF7A37" w:rsidRDefault="00CF7A37" w:rsidP="00CF7A37">
            <w:r>
              <w:t xml:space="preserve">-В комплекте имеется средства сосудистого доступа (забор, транспортировка, выдача) в количестве 50 шт. </w:t>
            </w:r>
          </w:p>
          <w:p w:rsidR="00E251EF" w:rsidRDefault="00CF7A37" w:rsidP="00CF7A37">
            <w:r>
              <w:t xml:space="preserve">- Необходимо лишь около 90 мкл образца цельной крови для исследования и 35 секунд до получения </w:t>
            </w:r>
            <w:proofErr w:type="spellStart"/>
            <w:r>
              <w:t>результата</w:t>
            </w:r>
            <w:proofErr w:type="gramStart"/>
            <w:r>
              <w:t>.И</w:t>
            </w:r>
            <w:proofErr w:type="gramEnd"/>
            <w:r>
              <w:t>змеряемыепараметрыpH</w:t>
            </w:r>
            <w:proofErr w:type="spellEnd"/>
            <w:r>
              <w:t xml:space="preserve">, pCO2, pO2, </w:t>
            </w:r>
            <w:proofErr w:type="spellStart"/>
            <w:r>
              <w:t>Na+</w:t>
            </w:r>
            <w:proofErr w:type="spellEnd"/>
            <w:r>
              <w:t xml:space="preserve">, K+, </w:t>
            </w:r>
            <w:proofErr w:type="spellStart"/>
            <w:r>
              <w:t>Ca++</w:t>
            </w:r>
            <w:proofErr w:type="spellEnd"/>
            <w:r>
              <w:t xml:space="preserve">, </w:t>
            </w:r>
            <w:proofErr w:type="spellStart"/>
            <w:r>
              <w:t>Hct</w:t>
            </w:r>
            <w:proofErr w:type="spellEnd"/>
            <w:r>
              <w:t xml:space="preserve">, </w:t>
            </w:r>
            <w:proofErr w:type="spellStart"/>
            <w:r>
              <w:t>Glu</w:t>
            </w:r>
            <w:proofErr w:type="spellEnd"/>
            <w:r>
              <w:t xml:space="preserve">, </w:t>
            </w:r>
            <w:proofErr w:type="spellStart"/>
            <w:r>
              <w:t>Lac</w:t>
            </w:r>
            <w:proofErr w:type="spellEnd"/>
            <w:r>
              <w:t xml:space="preserve">, </w:t>
            </w:r>
            <w:proofErr w:type="spellStart"/>
            <w:r>
              <w:t>Crea</w:t>
            </w:r>
            <w:proofErr w:type="spellEnd"/>
            <w:r>
              <w:t xml:space="preserve">, </w:t>
            </w:r>
            <w:proofErr w:type="spellStart"/>
            <w:r>
              <w:t>Cl</w:t>
            </w:r>
            <w:proofErr w:type="spellEnd"/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CF7A37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CF7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CF7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4 620 000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7A1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заявка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аключения договоров в течение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10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календарных дней</w:t>
      </w:r>
      <w:proofErr w:type="gramStart"/>
      <w:r w:rsidR="00E251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251EF" w:rsidRP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далее </w:t>
      </w:r>
      <w:r w:rsidR="007A1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 графику поставки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до 31.12.2023г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улица</w:t>
      </w:r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7A1083">
        <w:rPr>
          <w:rFonts w:ascii="Times New Roman" w:hAnsi="Times New Roman" w:cs="Times New Roman"/>
          <w:b/>
          <w:color w:val="FF0000"/>
          <w:sz w:val="24"/>
          <w:szCs w:val="24"/>
        </w:rPr>
        <w:t>06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февраля 2023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09:30</w:t>
      </w:r>
      <w:r w:rsidR="007A1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06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февраля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>23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улица</w:t>
      </w:r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7A1083" w:rsidRDefault="009220C9" w:rsidP="007A1083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 xml:space="preserve"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</w:t>
      </w:r>
      <w:r w:rsidRPr="00FA217B">
        <w:rPr>
          <w:rStyle w:val="s1"/>
          <w:b w:val="0"/>
          <w:sz w:val="24"/>
          <w:szCs w:val="24"/>
        </w:rPr>
        <w:lastRenderedPageBreak/>
        <w:t>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E70AA2">
        <w:rPr>
          <w:rStyle w:val="s1"/>
          <w:b w:val="0"/>
          <w:sz w:val="24"/>
          <w:szCs w:val="24"/>
        </w:rPr>
        <w:t xml:space="preserve"> и объем фармацевтических услуг</w:t>
      </w:r>
      <w:bookmarkStart w:id="0" w:name="_GoBack"/>
      <w:bookmarkEnd w:id="0"/>
    </w:p>
    <w:p w:rsidR="009220C9" w:rsidRPr="007A1083" w:rsidRDefault="009220C9" w:rsidP="007A1083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 xml:space="preserve">3) </w:t>
      </w:r>
      <w:proofErr w:type="spellStart"/>
      <w:r w:rsidR="009220C9" w:rsidRPr="00C41196">
        <w:rPr>
          <w:spacing w:val="2"/>
        </w:rPr>
        <w:t>непревышение</w:t>
      </w:r>
      <w:proofErr w:type="spellEnd"/>
      <w:r w:rsidR="009220C9" w:rsidRPr="00C41196">
        <w:rPr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lastRenderedPageBreak/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6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7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8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 xml:space="preserve">11) новизна медицинской техники, ее </w:t>
      </w:r>
      <w:proofErr w:type="spellStart"/>
      <w:r w:rsidR="009220C9" w:rsidRPr="00C41196">
        <w:rPr>
          <w:spacing w:val="2"/>
        </w:rPr>
        <w:t>неиспользованность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9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0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1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2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3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4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5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6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7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8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2C65"/>
    <w:rsid w:val="00065D60"/>
    <w:rsid w:val="000678FA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B6160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5FC0"/>
    <w:rsid w:val="001E73CD"/>
    <w:rsid w:val="001F6702"/>
    <w:rsid w:val="00200ED5"/>
    <w:rsid w:val="00203D3C"/>
    <w:rsid w:val="00206FA7"/>
    <w:rsid w:val="00221CF1"/>
    <w:rsid w:val="00223B0E"/>
    <w:rsid w:val="00223BA7"/>
    <w:rsid w:val="00224119"/>
    <w:rsid w:val="00225E73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01C7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6A40"/>
    <w:rsid w:val="00347115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7741"/>
    <w:rsid w:val="003C1DCA"/>
    <w:rsid w:val="003C4B03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44A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32840"/>
    <w:rsid w:val="006369A4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1083"/>
    <w:rsid w:val="007A3D83"/>
    <w:rsid w:val="007B1410"/>
    <w:rsid w:val="007B392C"/>
    <w:rsid w:val="007C0504"/>
    <w:rsid w:val="007C5FE2"/>
    <w:rsid w:val="007D0381"/>
    <w:rsid w:val="007D1D4B"/>
    <w:rsid w:val="007E46FD"/>
    <w:rsid w:val="007E4C0A"/>
    <w:rsid w:val="007F4D6A"/>
    <w:rsid w:val="00807243"/>
    <w:rsid w:val="0080749F"/>
    <w:rsid w:val="008124E2"/>
    <w:rsid w:val="008137F6"/>
    <w:rsid w:val="008142C2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2B2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20A0"/>
    <w:rsid w:val="009636D2"/>
    <w:rsid w:val="00963872"/>
    <w:rsid w:val="00963C80"/>
    <w:rsid w:val="00963DFB"/>
    <w:rsid w:val="0096447F"/>
    <w:rsid w:val="0097515A"/>
    <w:rsid w:val="00980530"/>
    <w:rsid w:val="00980DA2"/>
    <w:rsid w:val="00984B4F"/>
    <w:rsid w:val="00986DC0"/>
    <w:rsid w:val="00997A63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93026"/>
    <w:rsid w:val="00A9512E"/>
    <w:rsid w:val="00AA2018"/>
    <w:rsid w:val="00AA226A"/>
    <w:rsid w:val="00AA2EB5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D053D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3896"/>
    <w:rsid w:val="00CC38EC"/>
    <w:rsid w:val="00CC4C7E"/>
    <w:rsid w:val="00CE0954"/>
    <w:rsid w:val="00CE09BA"/>
    <w:rsid w:val="00CE4880"/>
    <w:rsid w:val="00CF0270"/>
    <w:rsid w:val="00CF189D"/>
    <w:rsid w:val="00CF31F9"/>
    <w:rsid w:val="00CF7A37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EE0"/>
    <w:rsid w:val="00D81A35"/>
    <w:rsid w:val="00D81D82"/>
    <w:rsid w:val="00D81E36"/>
    <w:rsid w:val="00D90C39"/>
    <w:rsid w:val="00D92AF0"/>
    <w:rsid w:val="00DA4263"/>
    <w:rsid w:val="00DA5F99"/>
    <w:rsid w:val="00DB11EB"/>
    <w:rsid w:val="00DB3BBC"/>
    <w:rsid w:val="00DD0E58"/>
    <w:rsid w:val="00DD1F1E"/>
    <w:rsid w:val="00DE2B74"/>
    <w:rsid w:val="00DE3F2D"/>
    <w:rsid w:val="00DE5005"/>
    <w:rsid w:val="00DF00A2"/>
    <w:rsid w:val="00E06E3C"/>
    <w:rsid w:val="00E17575"/>
    <w:rsid w:val="00E21BFD"/>
    <w:rsid w:val="00E232F5"/>
    <w:rsid w:val="00E251EF"/>
    <w:rsid w:val="00E270C6"/>
    <w:rsid w:val="00E44B66"/>
    <w:rsid w:val="00E5500D"/>
    <w:rsid w:val="00E55038"/>
    <w:rsid w:val="00E624DE"/>
    <w:rsid w:val="00E67B72"/>
    <w:rsid w:val="00E70AA2"/>
    <w:rsid w:val="00E80EBC"/>
    <w:rsid w:val="00E83F41"/>
    <w:rsid w:val="00E97D42"/>
    <w:rsid w:val="00EA0422"/>
    <w:rsid w:val="00EA2440"/>
    <w:rsid w:val="00EA49D7"/>
    <w:rsid w:val="00EA4F82"/>
    <w:rsid w:val="00EA7B71"/>
    <w:rsid w:val="00EB2134"/>
    <w:rsid w:val="00EB2DBE"/>
    <w:rsid w:val="00EB2EA8"/>
    <w:rsid w:val="00ED4A0F"/>
    <w:rsid w:val="00EE4634"/>
    <w:rsid w:val="00EE64C8"/>
    <w:rsid w:val="00EF2255"/>
    <w:rsid w:val="00EF780A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217B"/>
    <w:rsid w:val="00FA4363"/>
    <w:rsid w:val="00FB0A28"/>
    <w:rsid w:val="00FB0DD2"/>
    <w:rsid w:val="00FB723D"/>
    <w:rsid w:val="00FC66AB"/>
    <w:rsid w:val="00FD68BD"/>
    <w:rsid w:val="00FD7F26"/>
    <w:rsid w:val="00FE19A8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0A"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P2100000375" TargetMode="Externa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5C6AC-5459-4584-AD7A-EF99EF2D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4664</TotalTime>
  <Pages>1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76ек6генп</cp:lastModifiedBy>
  <cp:revision>415</cp:revision>
  <cp:lastPrinted>2022-01-11T09:27:00Z</cp:lastPrinted>
  <dcterms:created xsi:type="dcterms:W3CDTF">2018-01-25T10:18:00Z</dcterms:created>
  <dcterms:modified xsi:type="dcterms:W3CDTF">2023-01-30T09:55:00Z</dcterms:modified>
</cp:coreProperties>
</file>