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EF7578">
        <w:rPr>
          <w:rFonts w:ascii="Times New Roman" w:hAnsi="Times New Roman" w:cs="Times New Roman"/>
          <w:b/>
          <w:sz w:val="24"/>
          <w:szCs w:val="24"/>
        </w:rPr>
        <w:t xml:space="preserve"> №9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2976"/>
        <w:gridCol w:w="1275"/>
        <w:gridCol w:w="1560"/>
        <w:gridCol w:w="1559"/>
      </w:tblGrid>
      <w:tr w:rsidR="00C900D9" w:rsidRPr="00FC66AB" w:rsidTr="00C900D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Экспресс-анализатор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АВК </w:t>
            </w:r>
            <w:proofErr w:type="spellStart"/>
            <w:r>
              <w:rPr>
                <w:color w:val="000000"/>
              </w:rPr>
              <w:t>Са</w:t>
            </w:r>
            <w:proofErr w:type="gramStart"/>
            <w:r>
              <w:rPr>
                <w:color w:val="000000"/>
              </w:rPr>
              <w:t>re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</w:t>
            </w:r>
            <w:proofErr w:type="spellEnd"/>
            <w:r>
              <w:rPr>
                <w:color w:val="000000"/>
              </w:rPr>
              <w:t xml:space="preserve"> для качественного определения в </w:t>
            </w:r>
            <w:proofErr w:type="spellStart"/>
            <w:r>
              <w:rPr>
                <w:color w:val="000000"/>
              </w:rPr>
              <w:t>капилярной</w:t>
            </w:r>
            <w:proofErr w:type="spellEnd"/>
            <w:r>
              <w:rPr>
                <w:color w:val="000000"/>
              </w:rPr>
              <w:t xml:space="preserve"> крови концентрации холестерина.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107600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roofErr w:type="spellStart"/>
            <w:r>
              <w:t>Термоиндикаторы</w:t>
            </w:r>
            <w:proofErr w:type="spellEnd"/>
            <w:r>
              <w:t xml:space="preserve"> 120гр.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120˚   №500 паровой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68000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roofErr w:type="spellStart"/>
            <w:r>
              <w:t>Термоиндикаторы</w:t>
            </w:r>
            <w:proofErr w:type="spellEnd"/>
            <w:r>
              <w:t xml:space="preserve"> 132гр.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132˚   №500 паровой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170000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roofErr w:type="spellStart"/>
            <w:r>
              <w:t>Термоиндикаторы</w:t>
            </w:r>
            <w:proofErr w:type="spellEnd"/>
            <w:r>
              <w:t xml:space="preserve"> 180гр.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180˚   №500 воздушный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13600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Браслет для новорожденных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Голубой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18000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93" w:rsidRPr="00E67B72" w:rsidRDefault="008A519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Браслет для новорожденных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Розовый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18000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Жгут для внутривенной манипуляции на застежке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для внутривенной манипуляции на застежке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17700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Кружка </w:t>
            </w:r>
            <w:proofErr w:type="spellStart"/>
            <w:r>
              <w:t>Эсморха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2л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1065000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Планшет П-50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для определения группы крови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495000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14G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91200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16G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108000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17G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96000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118800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75600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22G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64800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Катетер внутривенный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канюля 24G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79800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№ 16 (температура хранения 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64800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№ 18 (температура хранения </w:t>
            </w:r>
            <w:r>
              <w:lastRenderedPageBreak/>
              <w:t>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129600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№ 20 (температура хранения 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129600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№ 22 (температура хранения 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64800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№ 24 (температура хранения 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8140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№ 26 (температура хранения до 25°С)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16280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Фартук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защитный, одноразовый, полиэтиленовый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240000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Бумага УЗИ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110*20*17мм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68000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r>
              <w:t>Фильтр дыхательный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roofErr w:type="spellStart"/>
            <w:r>
              <w:t>вирусо</w:t>
            </w:r>
            <w:proofErr w:type="spellEnd"/>
            <w:r>
              <w:t>-бактериальный, большой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3" w:rsidRDefault="008A519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450000</w:t>
            </w:r>
          </w:p>
        </w:tc>
      </w:tr>
      <w:tr w:rsidR="008A5193" w:rsidRPr="00FC66AB" w:rsidTr="00A912D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3" w:rsidRDefault="009968A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r>
              <w:rPr>
                <w:color w:val="000000"/>
              </w:rPr>
              <w:t>Локтевой дозатор настенный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металический</w:t>
            </w:r>
            <w:proofErr w:type="spellEnd"/>
            <w:r>
              <w:rPr>
                <w:color w:val="000000"/>
              </w:rPr>
              <w:t xml:space="preserve">, для плоского флакона </w:t>
            </w:r>
            <w:proofErr w:type="spellStart"/>
            <w:r>
              <w:rPr>
                <w:color w:val="000000"/>
              </w:rPr>
              <w:t>эйрлес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93" w:rsidRDefault="008A5193">
            <w:pPr>
              <w:jc w:val="center"/>
            </w:pPr>
            <w:r>
              <w:t>285000</w:t>
            </w:r>
          </w:p>
        </w:tc>
      </w:tr>
    </w:tbl>
    <w:p w:rsidR="00051F04" w:rsidRDefault="00051F04" w:rsidP="009220C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>09:00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051F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24</w:t>
      </w:r>
      <w:r w:rsidR="00051F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</w:t>
      </w:r>
      <w:proofErr w:type="gramEnd"/>
      <w:r w:rsidRPr="00FA217B">
        <w:rPr>
          <w:rStyle w:val="s1"/>
          <w:b w:val="0"/>
          <w:sz w:val="24"/>
          <w:szCs w:val="24"/>
        </w:rPr>
        <w:t xml:space="preserve"> настоящих Правил, а также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0A08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68AF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CB34-3903-4E65-A2B4-052100D0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4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429</cp:revision>
  <cp:lastPrinted>2022-01-11T09:27:00Z</cp:lastPrinted>
  <dcterms:created xsi:type="dcterms:W3CDTF">2018-01-25T10:18:00Z</dcterms:created>
  <dcterms:modified xsi:type="dcterms:W3CDTF">2023-02-24T08:08:00Z</dcterms:modified>
</cp:coreProperties>
</file>