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532d" w14:textId="b7a532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оценки профессиональной подготовленности и подтверждения соответствия квалификации специалистов в области здравоохранения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28 мая 2015 года № 404. Зарегистрирован в Министерстве юстиции Республики Казахстан 26 июня 2015 года № 11449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со статьей 176-1 </w:t>
      </w:r>
      <w:r>
        <w:rPr>
          <w:rFonts w:ascii="Consolas"/>
          <w:b w:val="false"/>
          <w:i w:val="false"/>
          <w:color w:val="000000"/>
          <w:sz w:val="20"/>
        </w:rPr>
        <w:t>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оценки профессиональной подготовленности и подтверждения соответствия квалификации специалистов в области здравоохранения.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Департаменту науки и человеческих ресурсов Министерства здравоохранения и социального развития Республики Казахстан обеспечить: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Цой А.В.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Настоящий приказ вводится в действие с 9 октября 2015 года и подлежит официальному опубликованию.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здравоохранения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здравоохранения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мая 2015 года № 404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оценки профессиональной подготовленности и подтверждения</w:t>
      </w:r>
      <w:r>
        <w:br/>
      </w:r>
      <w:r>
        <w:rPr>
          <w:rFonts w:ascii="Consolas"/>
          <w:b/>
          <w:i w:val="false"/>
          <w:color w:val="000000"/>
        </w:rPr>
        <w:t>
соответствия квалификации специалистов в области</w:t>
      </w:r>
      <w:r>
        <w:br/>
      </w:r>
      <w:r>
        <w:rPr>
          <w:rFonts w:ascii="Consolas"/>
          <w:b/>
          <w:i w:val="false"/>
          <w:color w:val="000000"/>
        </w:rPr>
        <w:t>
здравоохранения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оценки профессиональной подготовленности и подтверждения соответствия квалификации специалистов в области здравоохранения (далее -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176 Кодекса Республики Казахстан от 18 сентября 2009 года «О здоровье народа и системе здравоохранения» и определяют порядок оценки профессиональной подготовленности и подтверждения соответствия квалификации специалистов в области здравоохранения, в том числе иностранных специалистов и лиц, получивших образование за пределами Республики Казахстан (далее – Оценка). Оценку проводит организация, аккредитованная уполномоченным органом (далее – организация по оценке).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настоящих Правилах применяются следующие понятия и определения: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региональные симуляционные центры (далее - РСЦ) – структурные подразделения государственных медицинских колледжей, созданные по рекомендации уполномоченного органа в области здравоохранения, с целью непрерывного профессионального развития специалистов здравоохранения в регионах и предоставления базы для Оценки;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апелляционная комиссия –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оценка знаний – определение уровня теоретических знаний кандидата по соответствующей специальности в области здравоохранения;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навык – действие, доведенное до автоматизма путем многократного повторения, освоенный способ выполнения действия, обеспечиваемый совокупностью приобретенных знаний и сформированный путем упражнений;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оценка для проведения сертификации специалиста в области здравоохранения (оценка на сертификацию) – процедура оценки знаний специалистов, проводимая в целях определения соответствия медицинских работников клинической специальности для допуска их к клинической практике (работе с пациентами);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оценка для присвоения квалификационной категории в области здравоохранения (оценка подтверждения соответствия квалификации специалистов) – процедура оценки знаний и практических навыков специалистов, проводимая в целях определения или подтверждения уровня их квалификации;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клиническая станция – отдельно оснащенное помещение (комната либо секция) для оценки клинических знаний и навыков специалистов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8) специалист - физическое лицо, имеющее профессиональное медицинское или фармацевтическое образование и осуществляющее медицинскую или фармацевтическую деятельность;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9) симуляционное оборудование – устройства, инструменты, аппаратура, позволяющие моделировать клинические ситуации в стандартизированных условиях, максимально приближенных к реальным условиям;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10) симуляционные технологии – современные технологии обучения и оценки навыков специалистов в области здравоохранения, включающие выработку автоматически повторяемых действий, оперативное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11) стандартизированный пациент –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12) оценка практических навыков – определение уровня владения кандидатом практическими навыками в процессе их демонстрации;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13) регистрационная карта – индивидуальная карточка учета для каждого кандидата, с указанием этапов, даты и времени оценки;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14) кандидат – специалист, претендующий на прохождение Оценки.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Прием заявлений кандидатов для прохождения оценки осуществляется организацией по оценке.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Положительный результат Оценки является основанием для проведения сертификации и присвоения квалификационной категории специалистов в области здравоохранения территориальными подразделениями уполномоченного органа и ведомством государственного органа в сфере санитарно-эпидемиологического благополучия населения и его территориальными подразделениями для специалистов в сфере санитарно-эпидемиологического благополучия населения.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Оценка проводится на государственном или русском языках по выбору кандидата.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Результат Оценки действует на всей территории Республики Казахстан в течение одного года со дня его выдачи. 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организации и проведения оценки на сертификацию 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Оценка на сертификацию проводится для специалистов со средним (техническим и профессиональным), послесредним, высшим медицинским образованием, а также лиц, прошедших переподготовку кадров и (или) приобретших послевузовское образование.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8. Оценка на сертификацию проводится в виде тестирования автоматизированным компьютерным способом.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Для регистрации на оценку на сертификацию кандидаты представляют: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копии документов об образовании и оригиналы для сверки;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анкету кандидата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копию документа, удостоверяющего личность.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10. Формы заявления и анкеты кандидата размещаются на официальном интернет-ресурсе организации по оценке.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После завершения процедуры регистрации, кандидату выдается регистрационная карта на прохождение оценки на сертификацию,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Помещение для тестирования оснащается камерами видеонаблюдения.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Объективность проведения тестирования обеспечивается стандартностью условий, времени, подсчета результатов, содержания тестов.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13. Кандидаты допускаются к тестированию при предъявлении регистрационной карты и документа, удостоверяющего личность.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Вход (выход) кандидатов в помещение для тестирования осуществляется с разрешения ответственного лица организации по оценке.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15. Кандидаты находятся в помещении для тестирования по времени, указанному в регистрационной карте.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16. До начала тестирования сотрудник организации по оценке: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проводит инструктаж кандидатов о порядке тестирования;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проводит ознакомление кандидата с инструкцией по технике безопасности для пользователей, работающих в помещении для тестирования, оборудованном персональными компьютерами.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17. Во время тестирования кандидатам не допускается разговаривать между собой и покидать помещение, в котором проводится тестирование.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не соблюдении требований претендент покидает помещение, где проводится тестирование, а результат тестирования считается не действительным.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18. Разработка тестовых заданий и их ежегодное обновление осуществляется организацией по оценке. Организация по оценке утверждает тестовые вопросы.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Вопросы тестовых заданий для всех кандидатов размещаются на официальном сайте организации по оценке.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Общее количество тестовых заданий по одной специальности и на одного кандидата составляет 50 вопросов. Время тестирования – 75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Пороговый уровень для прохождения тестирования составляет 50% и более (25 и более правильных ответов) от общего количества вопросов.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20. По истечении времени, отведенного на прохождение тестов, программа автоматически закрывается.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21. Подсчет результатов тестирования проводится автоматически компьютерной программой.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22. Результат тестирования выдается кандидату сразу по завершению тестирования.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Результат тестирования вносится в результат оценки на сертификацию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24. Оценка на сертификацию считается пройденной при условии успешного прохождения тестирования.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 результатам прохождения оценки принимается одно из следующих решений: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подтверждено;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неподтверждено.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Повторное тестирование кандидатом проводится по одной и той же программе не ранее трех рабочих дней со дня предыдущего тестирования после представления заявления и анкеты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26. Претенденты, не сдавшие повторное тестирование, допускаются к сдаче после прохождения курсов повышения квалификации по специальности в объеме 216 часов. 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организации и проведения оценки подтверждения</w:t>
      </w:r>
      <w:r>
        <w:br/>
      </w:r>
      <w:r>
        <w:rPr>
          <w:rFonts w:ascii="Consolas"/>
          <w:b/>
          <w:i w:val="false"/>
          <w:color w:val="000000"/>
        </w:rPr>
        <w:t xml:space="preserve">
соответствия квалификации специалистов 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27. Оценка подтверждения соответствия квалификации специалистов проводится для специалистов с медицинским и фармацевтическим образованием.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Перечень документов, представляемых для регистрации на оценку подтверждения соответствия квалификации специалистов, указанных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После завершения процедуры регистрации, кандидату выдается регистрационная карта на прохождение Оценки,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Оценка подтверждения соответствия квалификации специалистов с высшим и средним (техническим и профессиональным), послесредним медицинским образованием, занимающихся клинической практикой, состоит из следующих этапов: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тестирование;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оценка практических навыков.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Оценка подтверждения соответствия квалификации специалистов с высшим и средним (техническим и профессиональным), послесредним фармацевтическим образованием проводится в виде тестирования.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Тестирование проводится сотрудником организации по оценке аналогично порядку, предусмотренному </w:t>
      </w:r>
      <w:r>
        <w:rPr>
          <w:rFonts w:ascii="Consolas"/>
          <w:b w:val="false"/>
          <w:i w:val="false"/>
          <w:color w:val="000000"/>
          <w:sz w:val="20"/>
        </w:rPr>
        <w:t>главой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31. Тесты различаются по степени сложности, в зависимости от квалификационной категории на которую заявляет кандидат.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Пороговый уровень для прохождения тестирования составляет: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 вторую категорию – от 60 % до 100 %;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 первую категорию – от 70 % до 100 %;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высшую категорию – от 80 % до 100 %.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32. Результат тестирования выдается кандидату сразу по завершению тестирования.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Результат тестирования вносится в результат оценки подтверждения соответствия квалификации специалистов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34. Кандидат, не преодолевший пороговый уровень для прохождения тестирования, к этапу оценки практических навыков не допускается.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35. В случае не прохождения этапа оценки практических навыков кандидат допускается к повторному прохождению данной оценки по истечении одного месяца со дня прохождения предыдущей оценки. При этом, данный кандидат освобождается от повторного прохождения тестирования, с обязательством предоставления его результатов.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В случае прохождения тестирования кандидат допускается к оценке практических навыков по времени, указанному в регистрационной карте.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37. Оценка практических навыков проводится организацией по оценке с привлечением практической базы РСЦ.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38. Оценка практических навыков проводится экзаменационной комиссией по программам, утвержденным организацией по оценке. Состав экзаменационной комиссии составляет нечетное число, но не менее трех членов по каждой станции.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состав экзаменационной комиссии привлекаются независимые эксперты, аккредитованные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127, зарегистрированным в Реестре государственной регистрации нормативных правовых актов № 10735 по клиническим специальностям, прошедших подготовку по проведению Оценки. Экзаменационная комиссия утверждается приказом организации по оценке.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39. Оценка практических навыков включает прохождение кандидатом: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вторую категорию - 5 клинических станций;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первую категорию - 6 клинических станций;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 высшую категорию - 8 клинических станций.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Перечень клинических станций для оценки практических навыков определен </w:t>
      </w:r>
      <w:r>
        <w:rPr>
          <w:rFonts w:ascii="Consolas"/>
          <w:b w:val="false"/>
          <w:i w:val="false"/>
          <w:color w:val="000000"/>
          <w:sz w:val="20"/>
        </w:rPr>
        <w:t>приложением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41. Оценка практических навыков осуществляется с использованием системы видео-аудио записи каждого кандидата. Записи архивируются и хранятся не менее 30 календарных дней со дня прохождения оценки.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42. Результат прохождения кандидатом каждой клинической станции оценивается по балльной системе соответственно заявляемой категории. Прохождением станции считается правильное выполнение кандидатом не менее 90 % практических навыков.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Время прохождения кандидатом каждой клинической станции составляет 10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Начало и окончание оценки оповещает звуковой сигнал. После звукового сигнала кандидаты входят на клиническую станцию и демонстрируют знания и навыки, комментируя комиссии свои действия.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Если претендент завершает выполнение поставленных задач на одной из станций досрочно, то сохраненное время используется как перерыв и не добавляется ко времени прохождения следующей станции.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 оценки практических навыков, вносится в результат оценки подтверждения соответствия квалификации специалистов,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получения кандидатом на одной из клинических станций решения «не подтверждено», к следующей клинической станции кандидат не допускается и оценка считается не пройденной.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прохождения Оценки претендент проходит каждую станцию с решением «подтверждено».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Оценка подтверждения соответствия квалификации специалистов считается пройденной при условии успешного прохождения обоих этапов Оценки (тестирования и оценки практических навыков).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прохождения Оценки комиссией принимается одно из следующих решений: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подтверждено;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 подтверждено.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После оценки подтверждения соответствия квалификации специалистов в течение одного рабочего дня организацией по оценке кандидату выдается результат оценки подтверждения соответствия квалификации специалистов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Кандидаты, не сдавшие оценку практических навыков, могут пройти повторно не ранее десяти календарных дней с момента предыдущей оценки после представления заявления и анкеты по формам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46. Кандидаты, повторно не сдавшие: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тестирование, допускаются к сдаче после прохождения курсов повышения квалификации по специальности в объеме 216 часов;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практические навыки, допускаются к сдаче после дополнительного прохождения курсов повышения квалификации по симуляционным технологиям в объеме 54 часов.</w:t>
      </w:r>
    </w:p>
    <w:bookmarkEnd w:id="8"/>
    <w:bookmarkStart w:name="z71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Апелляционная комиссия </w:t>
      </w:r>
    </w:p>
    <w:bookmarkEnd w:id="9"/>
    <w:bookmarkStart w:name="z7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47. Апелляционное заявление (далее - заявление) об обжаловании результатов оценки подается секретарю экзаменационной комиссии, с обоснованием причины обжалования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48. Заявление кандидатом подается не позднее 3-х календарных дней со дня получения результатов Оценки.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49. Секретарь экзаменационной комиссии направляет заявление и экзаменационный материал (для аппеляции по результатам тестирования – тестовые вопросы с ответами; для апелляции по результатам оценки практических навыков – видео- и аудиозаписи оценки практических навыков) кандидата в апелляционную комиссию не позднее двух дней со дня регистрации апелляционного заявления.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50. Апелляционная комиссия создается на базе организации по оценке из числа сотрудников организации по оценке и аккредитованных независимых экспертов.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Привлечение аккредитованных независимых экспертов к проведению экспертизы осуществляется в соответствии с Правилами привлечения независимых экспертов в области здравоохранения, утверждаемыми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14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«О здоровье народа и системе здравоохранения».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51. Составы апелляционных комиссий для рассмотрения результатов оценки формируются из числа сотрудников организации по оценке, профильных специалистов в соответствии с заявленными специальностями.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52. Персональные составы апелляционных комиссий ежегодно утверждаются приказом руководителя организации по оценке.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53. Общее количество членов апелляционной комиссии составляет не менее 5 человек.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Апелляционное заявление рассматривается на заседании апелляционной комиссии, которая выносит решение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55. Апелляционная комиссия проводит заседание по рассмотрению заявлений в течение 15 рабочих дней со дня регистрации заявления в организации по оценке.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56. 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апелляционной комиссии.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57. Копия решения апелляционной комиссии выдается кандидату на следующий рабочий день после его рассмотрения. </w:t>
      </w:r>
    </w:p>
    <w:bookmarkEnd w:id="10"/>
    <w:bookmarkStart w:name="z83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Заключительные положения</w:t>
      </w:r>
    </w:p>
    <w:bookmarkEnd w:id="11"/>
    <w:bookmarkStart w:name="z8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58. Оценка осуществляется за счет средств работодателя, личных средств кандидата и иных источников.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59. Организация по оценке формирует и ежеквартально актуализирует базу данных результатов оценки.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В случае утери или порчи результата оценки кандидату выдается дубликат в течение двух рабочих дней после подачи заявления на имя руководителя организации по оценке,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</w:p>
    <w:bookmarkEnd w:id="12"/>
    <w:bookmarkStart w:name="z87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Руководителю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(наименование организации по оценки)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(специальность)       </w:t>
      </w:r>
    </w:p>
    <w:bookmarkStart w:name="z8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Заявление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Вас разрешить мне пройти оценку профессиональной подготовленности и подтверждения соответствия квалификации специалистов в области здравоохранения для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(проведения сертификации специалистов и присвоения квалификационной категории в области здравоохранения (нужное вписать)по специальности)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 Дата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 Подпись Кандидата</w:t>
      </w:r>
    </w:p>
    <w:bookmarkStart w:name="z89"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bookmarkStart w:name="z9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 Анкета кандидата</w:t>
      </w:r>
    </w:p>
    <w:bookmarkEnd w:id="16"/>
    <w:bookmarkStart w:name="z91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       I. Общие данные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3053"/>
        <w:gridCol w:w="2"/>
        <w:gridCol w:w="2384"/>
        <w:gridCol w:w="2255"/>
        <w:gridCol w:w="2633"/>
      </w:tblGrid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93"/>
            </w:tblGrid>
            <w:tr>
              <w:trPr>
                <w:trHeight w:val="30" w:hRule="atLeast"/>
              </w:trPr>
              <w:tc>
                <w:tcPr>
                  <w:tcW w:w="9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53"/>
            </w:tblGrid>
            <w:tr>
              <w:trPr>
                <w:trHeight w:val="30" w:hRule="atLeast"/>
              </w:trPr>
              <w:tc>
                <w:tcPr>
                  <w:tcW w:w="101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20"/>
            </w:tblGrid>
            <w:tr>
              <w:trPr>
                <w:trHeight w:val="30" w:hRule="atLeast"/>
              </w:trPr>
              <w:tc>
                <w:tcPr>
                  <w:tcW w:w="102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67"/>
              <w:gridCol w:w="1481"/>
            </w:tblGrid>
            <w:tr>
              <w:trPr>
                <w:trHeight w:val="30" w:hRule="atLeast"/>
              </w:trPr>
              <w:tc>
                <w:tcPr>
                  <w:tcW w:w="14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год</w:t>
                  </w:r>
                </w:p>
              </w:tc>
              <w:tc>
                <w:tcPr>
                  <w:tcW w:w="148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374"/>
                  </w:tblGrid>
                  <w:tr>
                    <w:trPr>
                      <w:trHeight w:val="30" w:hRule="atLeast"/>
                    </w:trPr>
                    <w:tc>
                      <w:tcPr>
                        <w:tcW w:w="1374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br/>
                        </w:r>
                        <w:r>
                          <w:rPr>
                            <w:rFonts w:ascii="Consolas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33"/>
              <w:gridCol w:w="1933"/>
            </w:tblGrid>
            <w:tr>
              <w:trPr>
                <w:trHeight w:val="30" w:hRule="atLeast"/>
              </w:trPr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месяц</w:t>
                  </w:r>
                </w:p>
              </w:tc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693"/>
                  </w:tblGrid>
                  <w:tr>
                    <w:trPr>
                      <w:trHeight w:val="30" w:hRule="atLeast"/>
                    </w:trPr>
                    <w:tc>
                      <w:tcPr>
                        <w:tcW w:w="1693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br/>
                        </w:r>
                        <w:r>
                          <w:rPr>
                            <w:rFonts w:ascii="Consolas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"/>
              <w:gridCol w:w="1013"/>
            </w:tblGrid>
            <w:tr>
              <w:trPr>
                <w:trHeight w:val="30" w:hRule="atLeast"/>
              </w:trPr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день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773"/>
                  </w:tblGrid>
                  <w:tr>
                    <w:trPr>
                      <w:trHeight w:val="30" w:hRule="atLeast"/>
                    </w:trPr>
                    <w:tc>
                      <w:tcPr>
                        <w:tcW w:w="773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br/>
                        </w:r>
                        <w:r>
                          <w:rPr>
                            <w:rFonts w:ascii="Consolas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13"/>
            </w:tblGrid>
            <w:tr>
              <w:trPr>
                <w:trHeight w:val="30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73"/>
            </w:tblGrid>
            <w:tr>
              <w:trPr>
                <w:trHeight w:val="30" w:hRule="atLeast"/>
              </w:trPr>
              <w:tc>
                <w:tcPr>
                  <w:tcW w:w="25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мужской </w:t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женский </w:t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20"/>
            </w:tblGrid>
            <w:tr>
              <w:trPr>
                <w:trHeight w:val="30" w:hRule="atLeast"/>
              </w:trPr>
              <w:tc>
                <w:tcPr>
                  <w:tcW w:w="102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77"/>
              <w:gridCol w:w="9543"/>
            </w:tblGrid>
            <w:tr>
              <w:trPr>
                <w:trHeight w:val="30" w:hRule="atLeast"/>
              </w:trPr>
              <w:tc>
                <w:tcPr>
                  <w:tcW w:w="67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+7</w:t>
                  </w:r>
                </w:p>
              </w:tc>
              <w:tc>
                <w:tcPr>
                  <w:tcW w:w="95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Рабочий телефон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20"/>
            </w:tblGrid>
            <w:tr>
              <w:trPr>
                <w:trHeight w:val="30" w:hRule="atLeast"/>
              </w:trPr>
              <w:tc>
                <w:tcPr>
                  <w:tcW w:w="102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20"/>
            </w:tblGrid>
            <w:tr>
              <w:trPr>
                <w:trHeight w:val="30" w:hRule="atLeast"/>
              </w:trPr>
              <w:tc>
                <w:tcPr>
                  <w:tcW w:w="102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Данные удостоверения личности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35"/>
              <w:gridCol w:w="4797"/>
            </w:tblGrid>
            <w:tr>
              <w:trPr>
                <w:trHeight w:val="30" w:hRule="atLeast"/>
              </w:trPr>
              <w:tc>
                <w:tcPr>
                  <w:tcW w:w="5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47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113"/>
                  </w:tblGrid>
                  <w:tr>
                    <w:trPr>
                      <w:trHeight w:val="30" w:hRule="atLeast"/>
                    </w:trPr>
                    <w:tc>
                      <w:tcPr>
                        <w:tcW w:w="2113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br/>
                        </w:r>
                        <w:r>
                          <w:rPr>
                            <w:rFonts w:ascii="Consolas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75"/>
              <w:gridCol w:w="2078"/>
            </w:tblGrid>
            <w:tr>
              <w:trPr>
                <w:trHeight w:val="30" w:hRule="atLeast"/>
              </w:trPr>
              <w:tc>
                <w:tcPr>
                  <w:tcW w:w="2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Кем выдан, дата</w:t>
                  </w:r>
                </w:p>
              </w:tc>
              <w:tc>
                <w:tcPr>
                  <w:tcW w:w="20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9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1971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br/>
                        </w:r>
                        <w:r>
                          <w:rPr>
                            <w:rFonts w:ascii="Consolas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bookmarkStart w:name="z92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II. Медицинское или фармацевтическое образование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196"/>
        <w:gridCol w:w="1154"/>
        <w:gridCol w:w="1299"/>
        <w:gridCol w:w="2165"/>
        <w:gridCol w:w="3465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Год поступления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Год окончания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 какой специальности обучался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Какую квалификацию получил в результате окончания учебного заведения, указать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 диплома или удостоверения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 Сведения о прохождении интернатуры, резидентуры,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 клинической ординатуры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000"/>
        <w:gridCol w:w="1428"/>
        <w:gridCol w:w="1428"/>
        <w:gridCol w:w="2000"/>
        <w:gridCol w:w="3430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Год поступления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Год окончания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 какой специальности обучался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Какую квалификацию получил в результате окончания учебного заведения, указать № удостоверения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 Курсы повышения квалификации и переподготовки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  за последние 5 лет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066"/>
        <w:gridCol w:w="2384"/>
        <w:gridCol w:w="2184"/>
        <w:gridCol w:w="4644"/>
      </w:tblGrid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Название цикла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Год прохождения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Место прохождения и № сертификата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 III. Трудовая деятельность за последние 5 лет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052"/>
        <w:gridCol w:w="3001"/>
        <w:gridCol w:w="4231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Время пребывания на должности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3"/>
        <w:gridCol w:w="3394"/>
        <w:gridCol w:w="3973"/>
      </w:tblGrid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Прохождение процедуры Оценки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drawing>
                <wp:inline distT="0" distB="0" distL="0" distR="0">
                  <wp:extent cx="4699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впервые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drawing>
                <wp:inline distT="0" distB="0" distL="0" distR="0">
                  <wp:extent cx="4699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повторно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Прочее_______________________________________________________________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Примечание: Заполненную анкету необходимо предоставить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Организацию по оценке в день регистрации.</w:t>
      </w:r>
    </w:p>
    <w:bookmarkStart w:name="z96" w:id="2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2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bookmarkStart w:name="z97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 Регистрационная карта на прохождение оценки на сертификацию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10673"/>
      </w:tblGrid>
      <w:tr>
        <w:trPr>
          <w:trHeight w:val="3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73"/>
            </w:tblGrid>
            <w:tr>
              <w:trPr>
                <w:trHeight w:val="1785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Идентификационный номер Кандидата ______________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Прохождение тестирования: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Дата__________, время _____________</w:t>
            </w:r>
          </w:p>
        </w:tc>
      </w:tr>
    </w:tbl>
    <w:bookmarkStart w:name="z98" w:id="2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2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10673"/>
      </w:tblGrid>
      <w:tr>
        <w:trPr>
          <w:trHeight w:val="3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73"/>
            </w:tblGrid>
            <w:tr>
              <w:trPr>
                <w:trHeight w:val="1785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Результат оценки на сертификацию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 (при его наличии) кандидата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Заявляемая специальность 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Результат тестирования - _____количество правильных ответов (____%).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Результат оценки на сертификацию ________________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3"/>
        <w:gridCol w:w="6507"/>
      </w:tblGrid>
      <w:tr>
        <w:trPr>
          <w:trHeight w:val="30" w:hRule="atLeast"/>
        </w:trPr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Председатель 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             (подпись)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        наличии)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 М.П.</w:t>
      </w:r>
    </w:p>
    <w:bookmarkStart w:name="z99" w:id="2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5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2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 </w:t>
      </w:r>
      <w:r>
        <w:rPr>
          <w:rFonts w:ascii="Consolas"/>
          <w:b/>
          <w:i w:val="false"/>
          <w:color w:val="000000"/>
          <w:sz w:val="20"/>
        </w:rPr>
        <w:t xml:space="preserve"> Регистрационная карта на прохождение оценки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 подтверждения соответствия квалификации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     специалистов </w:t>
      </w:r>
      <w:r>
        <w:rPr>
          <w:rFonts w:ascii="Consolas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10673"/>
      </w:tblGrid>
      <w:tr>
        <w:trPr>
          <w:trHeight w:val="3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73"/>
            </w:tblGrid>
            <w:tr>
              <w:trPr>
                <w:trHeight w:val="1785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Идентификационный номер Кандидата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          Прохождение 1 этапа (тестирования):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     Дата__________, время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          Прохождение 2 этапа (оценки практических навыков):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     Дата__________, время 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0" w:id="2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6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2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bookmarkStart w:name="z101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 Результат оценки подтверждения соответствия квалификации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 специалистов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отчество(при его наличии) кандидата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Заявляемая специальность 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Заявляемая квалификационная категория________________________________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Этап 1. Результат тестирования - ___ количество правильных ответов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(__%).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Этап 2. Оценка практических навыков (баллы, %) по: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1.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2.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3.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4.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5.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6.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7. ______________________________________ (баллы, %)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Станция 8. ______________________________________ (баллы, %)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Результат оценки подтверждения соответствия квалификации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3"/>
        <w:gridCol w:w="6507"/>
      </w:tblGrid>
      <w:tr>
        <w:trPr>
          <w:trHeight w:val="30" w:hRule="atLeast"/>
        </w:trPr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Председатель 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            (подпись)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       наличии)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 М.П.</w:t>
      </w:r>
    </w:p>
    <w:bookmarkStart w:name="z102" w:id="2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7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 </w:t>
      </w:r>
    </w:p>
    <w:bookmarkEnd w:id="28"/>
    <w:bookmarkStart w:name="z103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 Перечень клинических станций для оценки практических навыков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7"/>
        <w:gridCol w:w="3573"/>
        <w:gridCol w:w="3720"/>
        <w:gridCol w:w="3680"/>
      </w:tblGrid>
      <w:tr>
        <w:trPr>
          <w:trHeight w:val="30" w:hRule="atLeast"/>
        </w:trPr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образования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клинических станций для проведения Оценки для квалификационной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высшая</w:t>
            </w:r>
          </w:p>
        </w:tc>
      </w:tr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Высшее медицинское образование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Оказание неотложной помощи при непроходимости верхних дыхательных путей.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Оказание неотложной помощи при травмах.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Оказание неотложной помощи при остановке сердца.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Диагностика острого коронарного синдрома.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Оценка коммуникативных навыков.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Оказание неотложной помощи при непроходимости верхних дыхательных путей.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Оказание неотложной помощи при травмах.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Оказание неотложной помощи при остановке сердца.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Диагностика острого коронарного синдрома.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Оценка коммуникативных навыков.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6. Интерпретация лабораторно-инструментальных методов исследования.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Оказание неотложной помощи при непроходимости верхних дыхательных путей.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Оказание неотложной помощи при травмах.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Оказание неотложной помощи при остановке сердца.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Диагностика острого коронарного синдрома.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Оценка коммуникативных навыков.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Интерпретация лабораторно-инструментальных методов исследования.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Оказание неотложной помощи при нарушении целостности кожных покровов.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8. Оказание неотложной помощи при шоках. </w:t>
            </w:r>
          </w:p>
        </w:tc>
      </w:tr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Среднее медицинское образование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Оказание неотложной помощи при остановке сердца.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Оказание неотложной помощи при травмах.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Техника парентеральных инъекций.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Проведение первичной обработки раны и накладывание повязки.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Оценка коммуникативных навыков.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Оказание неотложной помощи при остановке сердца.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Оказание неотложной помощи при травмах.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Техника парентеральных инъекций.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Проведение первичной обработки раны и накладывание повязки.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Оценка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коммуникативных навыков.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6. Оказание неотложной помощи при шоках.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Оказание неотложной помощи при остановке сердца.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Оказание неотложной помощи при травмах.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Техника парентеральных инъекций.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Проведение первичной обработки раны и накладывание повязки.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Оценка коммуникативных навыков по разъяснению медицинских манипуляций.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Оказание неотложной помощи при шоках.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Остановка наружного кровотечения.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8. Оценка коммуникативных навыков по профилактике заболеваний. </w:t>
            </w:r>
          </w:p>
        </w:tc>
      </w:tr>
    </w:tbl>
    <w:bookmarkStart w:name="z104" w:id="3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8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3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Председателю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Апелляционной комиссии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 по оценке)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(специальность)           </w:t>
      </w:r>
    </w:p>
    <w:bookmarkStart w:name="z105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 Апелляционное заявление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 результатами оценки (тестирование/практические умения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навыки),                           (нужное подчеркнуть)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согласен по причине: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этой связи, прошу Вас рассмотреть мое заявление на заседании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Апелляционной комиссии и принять решение по данному вопросу.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 Дата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 Подпись Кандидата</w:t>
      </w:r>
    </w:p>
    <w:bookmarkStart w:name="z106" w:id="3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9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3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bookmarkStart w:name="z107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Решение апелляционной комиссии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 рассмотрении апелляционного заявления кандидата № __ 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«__» _____ 20___ 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фамилия, имя, отчество (при его наличии) кандидата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 Постановили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 Дата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Подписи Председателя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членов Апелляционной комиссии </w:t>
      </w:r>
    </w:p>
    <w:bookmarkStart w:name="z108" w:id="3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10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оценки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профессиональной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подготовленности и подтверждения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соответствия квалификации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области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      </w:t>
      </w:r>
    </w:p>
    <w:bookmarkEnd w:id="3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Руководителю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организации по оценки)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(специальность)          </w:t>
      </w:r>
    </w:p>
    <w:bookmarkStart w:name="z109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    Заявление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связи с утерей результата оценки профессиональной подготовленности и подтверждения соответствия квалификации специалиста в области здравоохранения прошу Вас разрешить выдать мне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дубликат.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Указать причину 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 Дата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 Подпись кандидата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