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58" w:type="dxa"/>
        <w:tblLayout w:type="fixed"/>
        <w:tblLook w:val="01E0"/>
      </w:tblPr>
      <w:tblGrid>
        <w:gridCol w:w="4062"/>
        <w:gridCol w:w="1819"/>
        <w:gridCol w:w="4046"/>
      </w:tblGrid>
      <w:tr w:rsidR="005C22E3" w:rsidTr="005C22E3">
        <w:trPr>
          <w:trHeight w:val="2271"/>
          <w:jc w:val="center"/>
        </w:trPr>
        <w:tc>
          <w:tcPr>
            <w:tcW w:w="4062" w:type="dxa"/>
          </w:tcPr>
          <w:p w:rsidR="005C22E3" w:rsidRDefault="005C22E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Павлодар облысы әкімдігі, Павлодар облысы денсаулық сақтау басқармасының  шаруашылық  жүргізу  құқығындағы  «Шарбақты аудандық ауруханасы» коммуналдық мемлекеттік кәсіпорны</w:t>
            </w:r>
          </w:p>
          <w:p w:rsidR="005C22E3" w:rsidRDefault="005C22E3">
            <w:pPr>
              <w:jc w:val="center"/>
              <w:rPr>
                <w:b/>
                <w:bCs/>
                <w:sz w:val="28"/>
                <w:szCs w:val="26"/>
                <w:lang w:val="kk-KZ"/>
              </w:rPr>
            </w:pPr>
          </w:p>
        </w:tc>
        <w:tc>
          <w:tcPr>
            <w:tcW w:w="1819" w:type="dxa"/>
          </w:tcPr>
          <w:p w:rsidR="005C22E3" w:rsidRDefault="005C22E3">
            <w:pPr>
              <w:jc w:val="center"/>
              <w:rPr>
                <w:b/>
                <w:bCs/>
                <w:sz w:val="28"/>
                <w:lang w:val="kk-KZ"/>
              </w:rPr>
            </w:pPr>
          </w:p>
        </w:tc>
        <w:tc>
          <w:tcPr>
            <w:tcW w:w="4046" w:type="dxa"/>
          </w:tcPr>
          <w:p w:rsidR="005C22E3" w:rsidRDefault="005C22E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Коммунальное  государственное  предприятие  на  праве  хозяйственного  ведения  «Щербактинская районная больница»  управления здравоохранения Павлодарской области, акимата Павлодарской области</w:t>
            </w:r>
          </w:p>
          <w:p w:rsidR="005C22E3" w:rsidRDefault="005C22E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5C22E3" w:rsidRPr="005C22E3" w:rsidTr="005C22E3">
        <w:trPr>
          <w:jc w:val="center"/>
        </w:trPr>
        <w:tc>
          <w:tcPr>
            <w:tcW w:w="4062" w:type="dxa"/>
            <w:hideMark/>
          </w:tcPr>
          <w:p w:rsidR="005C22E3" w:rsidRDefault="005C22E3">
            <w:pPr>
              <w:ind w:left="-108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141100,  Павлодар облысы, Шарбақты ауданы, Шарбақты ауылы, Гагарин көшесі, 49 </w:t>
            </w:r>
          </w:p>
          <w:p w:rsidR="005C22E3" w:rsidRDefault="005C22E3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5C22E3" w:rsidRDefault="005C22E3">
            <w:pPr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5" w:history="1">
              <w:r>
                <w:rPr>
                  <w:rStyle w:val="a6"/>
                  <w:b/>
                  <w:bCs/>
                  <w:sz w:val="18"/>
                  <w:szCs w:val="18"/>
                  <w:lang w:val="en-US"/>
                </w:rPr>
                <w:t>shrcrb@mail.ru</w:t>
              </w:r>
            </w:hyperlink>
          </w:p>
        </w:tc>
        <w:tc>
          <w:tcPr>
            <w:tcW w:w="1819" w:type="dxa"/>
          </w:tcPr>
          <w:p w:rsidR="005C22E3" w:rsidRDefault="005C22E3">
            <w:pPr>
              <w:rPr>
                <w:lang w:val="en-US"/>
              </w:rPr>
            </w:pPr>
          </w:p>
        </w:tc>
        <w:tc>
          <w:tcPr>
            <w:tcW w:w="4046" w:type="dxa"/>
            <w:hideMark/>
          </w:tcPr>
          <w:p w:rsidR="005C22E3" w:rsidRDefault="005C22E3">
            <w:pPr>
              <w:ind w:lef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141100,  Павлодарская область, Щербактинский район, село </w:t>
            </w:r>
            <w:proofErr w:type="spellStart"/>
            <w:r>
              <w:rPr>
                <w:b/>
                <w:bCs/>
                <w:sz w:val="18"/>
                <w:szCs w:val="18"/>
              </w:rPr>
              <w:t>Шарбакты</w:t>
            </w:r>
            <w:proofErr w:type="spellEnd"/>
            <w:r>
              <w:rPr>
                <w:b/>
                <w:bCs/>
                <w:sz w:val="18"/>
                <w:szCs w:val="18"/>
              </w:rPr>
              <w:t>, улица Гагарина</w:t>
            </w:r>
            <w:r>
              <w:rPr>
                <w:b/>
                <w:bCs/>
                <w:sz w:val="18"/>
                <w:szCs w:val="18"/>
                <w:lang w:val="kk-KZ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49</w:t>
            </w:r>
          </w:p>
          <w:p w:rsidR="005C22E3" w:rsidRDefault="005C22E3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5C22E3" w:rsidRDefault="005C22E3">
            <w:pPr>
              <w:ind w:left="-108" w:firstLine="108"/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6" w:history="1">
              <w:r>
                <w:rPr>
                  <w:rStyle w:val="a6"/>
                  <w:b/>
                  <w:bCs/>
                  <w:sz w:val="18"/>
                  <w:szCs w:val="18"/>
                  <w:lang w:val="en-US"/>
                </w:rPr>
                <w:t>shrcrb@mail.ru</w:t>
              </w:r>
            </w:hyperlink>
          </w:p>
        </w:tc>
      </w:tr>
      <w:tr w:rsidR="005C22E3" w:rsidRPr="005C22E3" w:rsidTr="005C22E3">
        <w:trPr>
          <w:jc w:val="center"/>
        </w:trPr>
        <w:tc>
          <w:tcPr>
            <w:tcW w:w="4062" w:type="dxa"/>
          </w:tcPr>
          <w:p w:rsidR="005C22E3" w:rsidRDefault="005C22E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19" w:type="dxa"/>
          </w:tcPr>
          <w:p w:rsidR="005C22E3" w:rsidRDefault="005C22E3">
            <w:pPr>
              <w:rPr>
                <w:lang w:val="kk-KZ"/>
              </w:rPr>
            </w:pPr>
          </w:p>
        </w:tc>
        <w:tc>
          <w:tcPr>
            <w:tcW w:w="4046" w:type="dxa"/>
          </w:tcPr>
          <w:p w:rsidR="005C22E3" w:rsidRDefault="005C22E3">
            <w:pPr>
              <w:jc w:val="center"/>
              <w:rPr>
                <w:b/>
                <w:lang w:val="kk-KZ"/>
              </w:rPr>
            </w:pPr>
          </w:p>
        </w:tc>
      </w:tr>
    </w:tbl>
    <w:p w:rsidR="001A2C4A" w:rsidRPr="005C22E3" w:rsidRDefault="001A2C4A" w:rsidP="001A2C4A">
      <w:pPr>
        <w:jc w:val="center"/>
        <w:rPr>
          <w:sz w:val="28"/>
          <w:szCs w:val="28"/>
          <w:lang w:val="en-US"/>
        </w:rPr>
      </w:pPr>
    </w:p>
    <w:p w:rsidR="001A2C4A" w:rsidRPr="009F7F18" w:rsidRDefault="001A2C4A" w:rsidP="001A2C4A">
      <w:pPr>
        <w:jc w:val="center"/>
        <w:rPr>
          <w:rFonts w:ascii="Georgia" w:hAnsi="Georgia"/>
          <w:b/>
          <w:sz w:val="28"/>
          <w:szCs w:val="28"/>
        </w:rPr>
      </w:pPr>
      <w:r w:rsidRPr="009F7F18">
        <w:rPr>
          <w:b/>
          <w:sz w:val="28"/>
          <w:szCs w:val="28"/>
        </w:rPr>
        <w:t>Инструкция</w:t>
      </w:r>
    </w:p>
    <w:p w:rsidR="001A2C4A" w:rsidRPr="009F7F18" w:rsidRDefault="001A2C4A" w:rsidP="001A2C4A">
      <w:pPr>
        <w:jc w:val="center"/>
        <w:rPr>
          <w:rFonts w:ascii="Georgia" w:hAnsi="Georgia"/>
          <w:b/>
          <w:sz w:val="28"/>
          <w:szCs w:val="28"/>
        </w:rPr>
      </w:pPr>
      <w:r w:rsidRPr="009F7F18">
        <w:rPr>
          <w:b/>
          <w:sz w:val="28"/>
          <w:szCs w:val="28"/>
        </w:rPr>
        <w:t>по обеспечению сохранности коммерческой и служебной тайны</w:t>
      </w:r>
    </w:p>
    <w:p w:rsidR="001A2C4A" w:rsidRPr="005C22E3" w:rsidRDefault="001A2C4A" w:rsidP="005C22E3">
      <w:pPr>
        <w:jc w:val="center"/>
        <w:rPr>
          <w:rFonts w:ascii="Georgia" w:hAnsi="Georgia"/>
          <w:b/>
          <w:sz w:val="28"/>
          <w:szCs w:val="28"/>
        </w:rPr>
      </w:pPr>
      <w:r w:rsidRPr="009F7F18">
        <w:rPr>
          <w:b/>
          <w:sz w:val="28"/>
          <w:szCs w:val="28"/>
        </w:rPr>
        <w:t xml:space="preserve">КГП </w:t>
      </w:r>
      <w:r w:rsidR="009F7F18" w:rsidRPr="009F7F18">
        <w:rPr>
          <w:b/>
          <w:sz w:val="28"/>
          <w:szCs w:val="28"/>
        </w:rPr>
        <w:t xml:space="preserve">на ПХВ «Щербактинская </w:t>
      </w:r>
      <w:r w:rsidRPr="009F7F18">
        <w:rPr>
          <w:b/>
          <w:sz w:val="28"/>
          <w:szCs w:val="28"/>
        </w:rPr>
        <w:t>РБ»</w:t>
      </w:r>
    </w:p>
    <w:p w:rsidR="005C22E3" w:rsidRDefault="005C22E3" w:rsidP="005C22E3">
      <w:pPr>
        <w:ind w:firstLine="708"/>
        <w:jc w:val="both"/>
        <w:rPr>
          <w:sz w:val="28"/>
          <w:szCs w:val="28"/>
        </w:rPr>
      </w:pPr>
    </w:p>
    <w:p w:rsidR="001A2C4A" w:rsidRPr="009F7F18" w:rsidRDefault="001A2C4A" w:rsidP="005C22E3">
      <w:pPr>
        <w:ind w:firstLine="708"/>
        <w:jc w:val="both"/>
        <w:rPr>
          <w:sz w:val="28"/>
          <w:szCs w:val="28"/>
        </w:rPr>
      </w:pPr>
      <w:r w:rsidRPr="009F7F18">
        <w:rPr>
          <w:sz w:val="28"/>
          <w:szCs w:val="28"/>
        </w:rPr>
        <w:t>Настоящая Инструкция по обеспечению сохранности коммерческой и служебной тайны коммунального государственного предприятия на праве хозяйственного ведения «Щербактинская ЦРБ» (далее – Предприятие) разработана в соответствии с Гражданским кодексом, другими нормативными правовыми актами Республики Казахстан и устанавливает общие нормы о сведениях, составляющих коммерческую и служебную тайну, а также меры, направленные на их охрану от незаконного разглашения.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Коммерческую и служебную тайну Предприятия составляют сведения, связанные с управлением, финансами, технологической информацией и другой деятельностью, имеющие действительную или потенциальную коммерческую ценность в силу неизвестности их третьим лицам, к ним нет свободного доступа на законном основании, разглашение (передача, распространение) которых может нанести ущерб интересам Предприятия.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Перечень сведений, составляющих коммерческую и служебную тайну, определен в приложении к настоящей Инструкции, являющемся ее неотъемлемой частью.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К коммерческой и служебной тайне не относятся: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учредительные документы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 вакансиях, их количестве и категориях;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иные сведения, свободный доступ к которым предусмотрен законодательными актами Республики Казахстан, Уставом и иными внутренними документами Предприятия.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Состав информации, подлежащей обязательному опубликованию либо обязательному доведению до сведения Единственного участника Предприятия, устанавливается Положением об информационной политике Предприятия.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 xml:space="preserve">Охрана коммерческой и служебной тайны заключается в запрете разглашения вышеуказанных сведений среди определенного, либо </w:t>
      </w:r>
      <w:r w:rsidRPr="009F7F18">
        <w:rPr>
          <w:sz w:val="28"/>
          <w:szCs w:val="28"/>
        </w:rPr>
        <w:lastRenderedPageBreak/>
        <w:t>неопределенного круга лиц, не имеющих доступ к коммерческой или служебной тайне, в любой доступной для восприятия форме.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 документами, решениями и источниками информации, затрагивающими права и интересы граждан, могут знакомиться только граждане, чьи права и интересы затрагиваются, а также лица, имеющие право доступа к такой информации.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proofErr w:type="gramStart"/>
      <w:r w:rsidRPr="009F7F18">
        <w:rPr>
          <w:sz w:val="28"/>
          <w:szCs w:val="28"/>
        </w:rPr>
        <w:t>На документах, делах и изданиях, содержащих коммерческую тайну, в целях предотвращения доступа к ним посторонних лиц, проставляется гриф «Конфиденциально», на документах, содержащих служебную тайну, — гриф «Для служебного пользования» или «ДСП».</w:t>
      </w:r>
      <w:proofErr w:type="gramEnd"/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При осуществлении торгово-экономических, научно-технических, валютно-финансовых и других предпринимательских отношений, в том числе с иностранными партнерами, Обществом предусматриваются в заключаемых договорах условия о сохранении конфиденциальности либо подписывается отдельный договор, в котором оговариваются характер, состав сведений, составляющих коммерческую тайну, а также взаимные обязательства по обеспечению ее сохранности в соответствии с законодательством.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Необходимость предоставления, открытого опубликования сведений, составляющих коммерческую и/или служебную тайну Предприятия, их объем, форма и время опубликования (предоставления) определяются Руководителем Предприятия.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Использование для открытого опубликования сведений, полученных на договорной или доверительной основе или являющихся результатом совместной деятельности, допускается только с общего согласия партнеров.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Доступ к сведениям, составляющим коммерческую и служебную тайну Предприятия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 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К сведениям, составляющим коммерческую и служебную тайну Предприятия, имеют доступ Единственный участник, члены Наблюдательного Совета, руководство Предприятия, Секретарь Наблюдательного совета, руководители структурных подразделений, ответственный за делопроизводство и секретную работу, обеспечивающий организацию работы с указанными документами.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Остальные работники Предприятия обладают доступом к сведениям и документам, содержащим коммерческую или служебную тайну, только в объеме, необходимом им для выполнения своих служебных обязанностей.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Доступ работника Предприятия к сведениям, составляющим коммерческую и служебную тайну Предприятия, осуществляется после подписания им документа о неразглашении этих сведений, который является неотъемлемой частью трудового договора.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Работник, который в силу своих служебных обязанностей имеет доступ к сведениям, составляющим коммерческую и/или служебную тайну Предприятия, а также работник, которому будут доверены такие сведения, должен быть ознакомлен с настоящей Инструкцией соответствующим отделом Предприятия.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lastRenderedPageBreak/>
        <w:t>Документы, содержащие коммерческую и служебную тайну Предприятия, хранятся в структурных подразделениях Предприятия, к компетенции которых отнесена информация, отраженная в данных документах.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Предоставление доступа работнику одного структурного подразделения к коммерческой и/или служебной тайне, хранящейся в другом структурном подразделении, осуществляется с разрешения руководителя последнего.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Работники, допущенные к сведениям, составляющим коммерческую или служебную тайну, несут личную ответственность за соблюдение установленного порядка учета, пользования, размножения, хранения и уничтожения документов, содержащих коммерческую или служебную тайну, в соответствии с действующим законодательством, настоящей Инструкцией и условиями трудового договора.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Работник со дня приема на работу и до истечения пяти лет с момента расторжения трудового договора обязан хранить в тайне сведения, составляющие коммерческую и служебную тайну, ставшие ему известными по работе, пресекать действия других лиц, которые могут привести к разглашению таких сведений.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proofErr w:type="gramStart"/>
      <w:r w:rsidRPr="009F7F18">
        <w:rPr>
          <w:sz w:val="28"/>
          <w:szCs w:val="28"/>
        </w:rPr>
        <w:t>Работники сторонних организаций могут быть допущены к ознакомлению и работе с документами, содержащими коммерческую или служебную тайну Предприятия, при наличии соглашения и/или договора о конфиденциальности между этими организациями и Обществом, мотивированного письменного запроса тех организаций, в которых они работают, с указанием темы выполняемого задания и фамилии, имени и отчества работника.</w:t>
      </w:r>
      <w:proofErr w:type="gramEnd"/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Обеспечение сохранности документов.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Проверка их наличия.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Документы, содержащие коммерческую и служебную тайну Предприятия, должны храниться в служебных помещениях в надежно запираемых и несгораемых сейфах, металлических шкафах (ящиках), обеспечивающих их физическую сохранность.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Компьютеры, содержащие сведения, составляющие коммерческую и/или служебную тайну, в обязательном порядке должны быть защищены паролем.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Оригиналы или копии документов, содержащих коммерческую и/или служебную тайну, могут находиться у исполнителя в течение срока, необходимого для выполнения задания, при условии полного обеспечения их сохранности, под его личную ответственность.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Не допускается оставление работниками на рабочих столах, сетевых принтерах и ксероксах оригиналов и копий документов, содержащих коммерческую и/или служебную тайну.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О фактах утраты документов, содержащих коммерческую и служебную тайну, либо разглашения сведений, содержащихся в них, немедленно ставится в известность руководитель структурного подразделения и работник Административного отдела, ответственный за делопроизводство и секретную работу. При этом указанные лица должны быть проинформированы об обстоятельствах утраты документов.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lastRenderedPageBreak/>
        <w:t>Для служебного расследования факта утраты документов, содержащих коммерческую и служебную тайну, или факта разглашения сведений, содержащихся в этих материалах, приказом Руководителя Предприятия может быть создана комиссия. Собранные комиссией материалы в ходе расследования таких фактов и заключение комиссии (акт) о результатах расследования являются основанием для привлечения виновных лиц к установленной законодательством ответственности.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Порядок приема, учета и работы с документами, имеющими гриф «Конфиденциально», «Для служебного пользования» или «ДСП», осуществляется в соответствии с Инструкцией по делопроизводству Предприятия.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Проверка наличия таких документов производится не реже одного раза в год работником соответствующего отдела, ответственным за делопроизводство и секретную работу в Предприятии.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 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Ограничения, связанные с использованием сведений, содержащих коммерческую тайну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Работники, имеющие доступ к коммерческой и служебной тайне Предприятия, обязаны: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сохранять коммерческую и служебную тайну, которая стала им известна в связи с выполняемой ими работой;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выполнять требования настоящей Инструкции, иных положений, приказов по обеспечению сохранности коммерческой и служебной тайны;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не использовать знание коммерческой и служебной тайны для занятий деятельностью, которая в результате конкурентного действия может нанести ущерб Предприятию;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в случае увольнения передать все носители сведений, составляющие коммерческую и/или служебную тайну своему непосредственному руководителю или лицу, им указанному, по акту приема-передачи.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Работникам запрещается: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вести разговоры, касающиеся содержания коммерческой и/или служебной тайны Предприятия в присутствии посторонних лиц или работников Предприятия, к компетенции которых данные вопросы не относятся;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использовать сведения, содержащие коммерческую и/или служебную тайну, в документах, статьях, предназначенных для опубликования в открытой печати, выступлениях, интервью и т.д. без соответствующего поручения или разрешения руководства;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письменно излагать сведения, содержащие коммерческую тайну, в заявлениях по личным вопросам, жалобах, просьбах;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делать записи, расчеты и т.п., раскрывающие коммерческую тайну, в личных блокнотах, записных книжках, личных компьютерах;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снимать копии с документов, содержащих коммерческую и/или служебную тайну, без соответствующего разрешения;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хранить в рабочих столах ненужные для работы документы, содержащие коммерческую и/или служебную тайну;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lastRenderedPageBreak/>
        <w:t>выносить из помещений, офисов документы, содержащие коммерческую и/или служебную тайну, без разрешения руководителей Предприятия, курирующих структурные подразделения;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размещать сведения документов и изданий с грифом «Конфиденциально», «Для служебного пользования» или «ДСП» и других документов, содержащих коммерческую и служебную тайну, в глобальных и локальных информационных сетях.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 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Ответственность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В случае разглашения или незаконного использования коммерческой или служебной тайны работник несет дисциплинарную, гражданско-правовую и иную ответственность, установленную законодательством Республики Казахстан.</w:t>
      </w:r>
    </w:p>
    <w:p w:rsidR="001A2C4A" w:rsidRPr="009F7F18" w:rsidRDefault="001A2C4A" w:rsidP="001353CA">
      <w:pPr>
        <w:jc w:val="center"/>
        <w:rPr>
          <w:sz w:val="28"/>
          <w:szCs w:val="28"/>
        </w:rPr>
      </w:pPr>
      <w:r w:rsidRPr="009F7F18">
        <w:rPr>
          <w:sz w:val="28"/>
          <w:szCs w:val="28"/>
        </w:rPr>
        <w:t>__________________________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 </w:t>
      </w:r>
    </w:p>
    <w:p w:rsidR="001A2C4A" w:rsidRPr="009F7F18" w:rsidRDefault="001A2C4A" w:rsidP="001353CA">
      <w:pPr>
        <w:ind w:firstLine="708"/>
        <w:jc w:val="center"/>
        <w:rPr>
          <w:sz w:val="28"/>
          <w:szCs w:val="28"/>
        </w:rPr>
      </w:pPr>
      <w:r w:rsidRPr="009F7F18">
        <w:rPr>
          <w:sz w:val="28"/>
          <w:szCs w:val="28"/>
        </w:rPr>
        <w:t>Приложение</w:t>
      </w:r>
    </w:p>
    <w:p w:rsidR="001A2C4A" w:rsidRPr="009F7F18" w:rsidRDefault="001A2C4A" w:rsidP="001353CA">
      <w:pPr>
        <w:jc w:val="center"/>
        <w:rPr>
          <w:sz w:val="28"/>
          <w:szCs w:val="28"/>
        </w:rPr>
      </w:pPr>
      <w:r w:rsidRPr="009F7F18">
        <w:rPr>
          <w:sz w:val="28"/>
          <w:szCs w:val="28"/>
        </w:rPr>
        <w:t>к Инструкции по обеспечению сохранности</w:t>
      </w:r>
    </w:p>
    <w:p w:rsidR="001A2C4A" w:rsidRPr="009F7F18" w:rsidRDefault="001A2C4A" w:rsidP="001353CA">
      <w:pPr>
        <w:jc w:val="center"/>
        <w:rPr>
          <w:sz w:val="28"/>
          <w:szCs w:val="28"/>
        </w:rPr>
      </w:pPr>
      <w:r w:rsidRPr="009F7F18">
        <w:rPr>
          <w:sz w:val="28"/>
          <w:szCs w:val="28"/>
        </w:rPr>
        <w:t>коммерческой и служебной тайны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Перечень сведений, составляющих коммерческую и служебную тайну,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 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 xml:space="preserve">Коммерческую тайну КГП на ПХВ «Щербактинская </w:t>
      </w:r>
      <w:r w:rsidR="00B3533E">
        <w:rPr>
          <w:sz w:val="28"/>
          <w:szCs w:val="28"/>
        </w:rPr>
        <w:t>Ц</w:t>
      </w:r>
      <w:r w:rsidRPr="009F7F18">
        <w:rPr>
          <w:sz w:val="28"/>
          <w:szCs w:val="28"/>
        </w:rPr>
        <w:t>РБ» (далее – Предприятие) составляют следующие сведения: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 подготовке, принятии и об исполнении руководством и органами Предприятия отдельных решений по производственным, коммерческим, организационным и иным вопросам (решения органов и должностных лиц Предприятия и иные, вытекающие из них материалы и документы);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 Плане развития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 необъявленных официально планах инвестиций, вывода на рынок новых товаров, продуктов и услуг;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информация о направлениях маркетинговых исследований и результатах изучения рынка, содержащая оценку состояния и перспективы развития рыночной конъюнктуры;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содержание первичных документов, в том числе: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банковских документов (банковские счета по операциям);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кассовых документов (</w:t>
      </w:r>
      <w:proofErr w:type="spellStart"/>
      <w:r w:rsidRPr="009F7F18">
        <w:rPr>
          <w:sz w:val="28"/>
          <w:szCs w:val="28"/>
        </w:rPr>
        <w:t>оприходование</w:t>
      </w:r>
      <w:proofErr w:type="spellEnd"/>
      <w:r w:rsidRPr="009F7F18">
        <w:rPr>
          <w:sz w:val="28"/>
          <w:szCs w:val="28"/>
        </w:rPr>
        <w:t xml:space="preserve"> и расходование денежных </w:t>
      </w:r>
      <w:proofErr w:type="gramStart"/>
      <w:r w:rsidRPr="009F7F18">
        <w:rPr>
          <w:sz w:val="28"/>
          <w:szCs w:val="28"/>
        </w:rPr>
        <w:t>средств</w:t>
      </w:r>
      <w:proofErr w:type="gramEnd"/>
      <w:r w:rsidRPr="009F7F18">
        <w:rPr>
          <w:sz w:val="28"/>
          <w:szCs w:val="28"/>
        </w:rPr>
        <w:t xml:space="preserve"> и остаток кассы);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информация о начислениях заработной планы работникам Предприятия, размере материальной помощи, премий;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содержание регистров бухгалтерского учета;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содержание внутренней бухгалтерской отчетности;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об открытых в кредитных учреждениях, иных финансовых организациях (банках) расчетных и иных счетах, в том числе в иностранной валюте, о движении средств по этим счетам, и об остатке средств на этих счетах, сведения об имеющихся вкладах в банках, в том числе в иностранной валюте;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lastRenderedPageBreak/>
        <w:t>финансовые документы: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содержание бюджетов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содержание Планов развития (планов финансово-хозяйственной деятельности)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расчеты с партнерами, сведения о дебиторской и кредиторской задолженности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подготовка предложений для участия Предприятия в закупках способом запроса ценовых предложений;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конкурсные предложения Предприятия до их раскрытия потенциальным поставщикам в соответствии с установленной процедурой;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 xml:space="preserve">сведения об отечественных и зарубежных подрядчиках, поставщиках, </w:t>
      </w:r>
      <w:proofErr w:type="spellStart"/>
      <w:r w:rsidRPr="009F7F18">
        <w:rPr>
          <w:sz w:val="28"/>
          <w:szCs w:val="28"/>
        </w:rPr>
        <w:t>контрпартнерах</w:t>
      </w:r>
      <w:proofErr w:type="spellEnd"/>
      <w:r w:rsidRPr="009F7F18">
        <w:rPr>
          <w:sz w:val="28"/>
          <w:szCs w:val="28"/>
        </w:rPr>
        <w:t xml:space="preserve"> (контрагентах), спонсорах, инвесторах, посредниках, а также сведения о взаимоотношениях с ними, их финансовом положении, условиях контрактов и прочие, которые не содержатся в открытых источниках;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коммерческая тайна организаций-партнеров, переданная Предприятию на доверительной основе (заключено соглашение о конфиденциальности);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 подготовке и результатах проведения переговоров с деловыми партнерами;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совершаемые и совершенные Предприятием сделки, в том числе заключаемые и заключенные договоры, их предмет, содержание, цена и другие существенные условия;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штатное расписание и штатная расстановка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 порядке и состоянии организации систем охранной сигнализации;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 порядке и состоянии защиты коммерческой и служебной тайны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сведения, касающиеся объекта интеллектуальной собственности, ноу-хау в ведении бизнеса, в области медицинской науки и техники, определяющие качественно новый уровень возможностей медицины, до официального представления в открытых источниках;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данные об информационной системе Предприятия и о применяемых способах информационной защиты;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о наличии и владельцах эмиссионных ценных бумаг на лицевых счетах в системе реестров держателей ценных бумаг и системе учета номинального держания, об остатках и движении эмиссионных ценных бумаг на этих счетах, за исключением информации, подлежащей раскрытию в соответствии с законодательством о рынке ценных бумаг.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Служебную тайну Предприятия составляют следующие сведения: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содержащиеся в личных делах работников Предприятия, в том числе их персональные данные;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собственная оценка характера и репутации персонала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акты Предприятия (приказы кадровые, производственные);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ведомственная статистическая отчетность;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сведения о системе оплаты труда работников Предприятия;</w:t>
      </w:r>
    </w:p>
    <w:p w:rsidR="001A2C4A" w:rsidRPr="009F7F18" w:rsidRDefault="001A2C4A" w:rsidP="001353CA">
      <w:pPr>
        <w:jc w:val="both"/>
        <w:rPr>
          <w:sz w:val="28"/>
          <w:szCs w:val="28"/>
        </w:rPr>
      </w:pPr>
      <w:r w:rsidRPr="009F7F18">
        <w:rPr>
          <w:sz w:val="28"/>
          <w:szCs w:val="28"/>
        </w:rPr>
        <w:t>кадровая статистика Предприятия.</w:t>
      </w:r>
    </w:p>
    <w:p w:rsidR="00DD7374" w:rsidRPr="009F7F18" w:rsidRDefault="00DD7374" w:rsidP="001353CA">
      <w:pPr>
        <w:jc w:val="both"/>
        <w:rPr>
          <w:sz w:val="28"/>
          <w:szCs w:val="28"/>
        </w:rPr>
      </w:pPr>
    </w:p>
    <w:p w:rsidR="009F7F18" w:rsidRPr="009F7F18" w:rsidRDefault="009F7F18" w:rsidP="001353CA">
      <w:pPr>
        <w:jc w:val="both"/>
        <w:rPr>
          <w:sz w:val="28"/>
          <w:szCs w:val="28"/>
        </w:rPr>
      </w:pPr>
    </w:p>
    <w:sectPr w:rsidR="009F7F18" w:rsidRPr="009F7F18" w:rsidSect="00DD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229"/>
    <w:multiLevelType w:val="multilevel"/>
    <w:tmpl w:val="026EB8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B4AB9"/>
    <w:multiLevelType w:val="multilevel"/>
    <w:tmpl w:val="DBD2B74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30760"/>
    <w:multiLevelType w:val="multilevel"/>
    <w:tmpl w:val="167ABB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21E98"/>
    <w:multiLevelType w:val="multilevel"/>
    <w:tmpl w:val="B31EF6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91732"/>
    <w:multiLevelType w:val="multilevel"/>
    <w:tmpl w:val="396C5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27DC6"/>
    <w:multiLevelType w:val="multilevel"/>
    <w:tmpl w:val="B4B890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D22D4"/>
    <w:multiLevelType w:val="multilevel"/>
    <w:tmpl w:val="98384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D4A11"/>
    <w:multiLevelType w:val="multilevel"/>
    <w:tmpl w:val="5E844E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F165A"/>
    <w:multiLevelType w:val="multilevel"/>
    <w:tmpl w:val="7936A3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B21D74"/>
    <w:multiLevelType w:val="multilevel"/>
    <w:tmpl w:val="24541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DA73B8"/>
    <w:multiLevelType w:val="multilevel"/>
    <w:tmpl w:val="307429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4B73A2"/>
    <w:multiLevelType w:val="multilevel"/>
    <w:tmpl w:val="AAB45C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9B3E47"/>
    <w:multiLevelType w:val="multilevel"/>
    <w:tmpl w:val="DE6C74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70BA3"/>
    <w:multiLevelType w:val="multilevel"/>
    <w:tmpl w:val="19C02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9F0C1D"/>
    <w:multiLevelType w:val="multilevel"/>
    <w:tmpl w:val="D11479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112D2B"/>
    <w:multiLevelType w:val="multilevel"/>
    <w:tmpl w:val="EB3E59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EE249B"/>
    <w:multiLevelType w:val="multilevel"/>
    <w:tmpl w:val="EADC7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656AF"/>
    <w:multiLevelType w:val="multilevel"/>
    <w:tmpl w:val="88F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E60698"/>
    <w:multiLevelType w:val="multilevel"/>
    <w:tmpl w:val="61AE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316CE"/>
    <w:multiLevelType w:val="multilevel"/>
    <w:tmpl w:val="2F38C6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844E45"/>
    <w:multiLevelType w:val="multilevel"/>
    <w:tmpl w:val="009489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351D2A"/>
    <w:multiLevelType w:val="multilevel"/>
    <w:tmpl w:val="6C94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D1234"/>
    <w:multiLevelType w:val="multilevel"/>
    <w:tmpl w:val="0A18A1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C4DAD"/>
    <w:multiLevelType w:val="multilevel"/>
    <w:tmpl w:val="38D8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503C0"/>
    <w:multiLevelType w:val="multilevel"/>
    <w:tmpl w:val="352A1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112D6D"/>
    <w:multiLevelType w:val="multilevel"/>
    <w:tmpl w:val="F782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0352DF"/>
    <w:multiLevelType w:val="multilevel"/>
    <w:tmpl w:val="DDA0F9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D8185F"/>
    <w:multiLevelType w:val="multilevel"/>
    <w:tmpl w:val="4D50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B53B0"/>
    <w:multiLevelType w:val="multilevel"/>
    <w:tmpl w:val="7A64AC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8114B"/>
    <w:multiLevelType w:val="multilevel"/>
    <w:tmpl w:val="40A0C2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C63DA8"/>
    <w:multiLevelType w:val="multilevel"/>
    <w:tmpl w:val="146CC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4F1D5C"/>
    <w:multiLevelType w:val="multilevel"/>
    <w:tmpl w:val="F35C9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7D7E2E"/>
    <w:multiLevelType w:val="multilevel"/>
    <w:tmpl w:val="1F9A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0E4F67"/>
    <w:multiLevelType w:val="multilevel"/>
    <w:tmpl w:val="DEE0FB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8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0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28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22"/>
    <w:lvlOverride w:ilvl="0">
      <w:lvl w:ilvl="0">
        <w:numFmt w:val="decimal"/>
        <w:lvlText w:val="%1."/>
        <w:lvlJc w:val="left"/>
      </w:lvl>
    </w:lvlOverride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26"/>
    <w:lvlOverride w:ilvl="0">
      <w:lvl w:ilvl="0">
        <w:numFmt w:val="decimal"/>
        <w:lvlText w:val="%1."/>
        <w:lvlJc w:val="left"/>
      </w:lvl>
    </w:lvlOverride>
  </w:num>
  <w:num w:numId="16">
    <w:abstractNumId w:val="33"/>
    <w:lvlOverride w:ilvl="0">
      <w:lvl w:ilvl="0">
        <w:numFmt w:val="decimal"/>
        <w:lvlText w:val="%1."/>
        <w:lvlJc w:val="left"/>
      </w:lvl>
    </w:lvlOverride>
  </w:num>
  <w:num w:numId="17">
    <w:abstractNumId w:val="31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19"/>
    <w:lvlOverride w:ilvl="0">
      <w:lvl w:ilvl="0">
        <w:numFmt w:val="decimal"/>
        <w:lvlText w:val="%1."/>
        <w:lvlJc w:val="left"/>
      </w:lvl>
    </w:lvlOverride>
  </w:num>
  <w:num w:numId="20">
    <w:abstractNumId w:val="15"/>
    <w:lvlOverride w:ilvl="0">
      <w:lvl w:ilvl="0">
        <w:numFmt w:val="decimal"/>
        <w:lvlText w:val="%1."/>
        <w:lvlJc w:val="left"/>
      </w:lvl>
    </w:lvlOverride>
  </w:num>
  <w:num w:numId="21">
    <w:abstractNumId w:val="29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7"/>
    <w:lvlOverride w:ilvl="0">
      <w:lvl w:ilvl="0">
        <w:numFmt w:val="decimal"/>
        <w:lvlText w:val="%1."/>
        <w:lvlJc w:val="left"/>
      </w:lvl>
    </w:lvlOverride>
  </w:num>
  <w:num w:numId="24">
    <w:abstractNumId w:val="20"/>
    <w:lvlOverride w:ilvl="0">
      <w:lvl w:ilvl="0">
        <w:numFmt w:val="decimal"/>
        <w:lvlText w:val="%1."/>
        <w:lvlJc w:val="left"/>
      </w:lvl>
    </w:lvlOverride>
  </w:num>
  <w:num w:numId="25">
    <w:abstractNumId w:val="24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  <w:num w:numId="2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"/>
    <w:lvlOverride w:ilvl="0">
      <w:lvl w:ilvl="0">
        <w:numFmt w:val="decimal"/>
        <w:lvlText w:val="%1."/>
        <w:lvlJc w:val="left"/>
      </w:lvl>
    </w:lvlOverride>
  </w:num>
  <w:num w:numId="29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0">
    <w:abstractNumId w:val="11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32"/>
  </w:num>
  <w:num w:numId="3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6"/>
    <w:lvlOverride w:ilvl="0">
      <w:lvl w:ilvl="0">
        <w:numFmt w:val="decimal"/>
        <w:lvlText w:val="%1."/>
        <w:lvlJc w:val="left"/>
      </w:lvl>
    </w:lvlOverride>
  </w:num>
  <w:num w:numId="3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4A"/>
    <w:rsid w:val="000A2FF8"/>
    <w:rsid w:val="001042AF"/>
    <w:rsid w:val="00106504"/>
    <w:rsid w:val="001353CA"/>
    <w:rsid w:val="00136D09"/>
    <w:rsid w:val="00161AA1"/>
    <w:rsid w:val="001A2C4A"/>
    <w:rsid w:val="00233FBA"/>
    <w:rsid w:val="004D5C31"/>
    <w:rsid w:val="005C22E3"/>
    <w:rsid w:val="009F7F18"/>
    <w:rsid w:val="00AE30B6"/>
    <w:rsid w:val="00B31DC9"/>
    <w:rsid w:val="00B3533E"/>
    <w:rsid w:val="00B92EC9"/>
    <w:rsid w:val="00DD7374"/>
    <w:rsid w:val="00F15062"/>
    <w:rsid w:val="00FB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A2C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C4A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2C4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A2C4A"/>
    <w:rPr>
      <w:b/>
      <w:bCs/>
    </w:rPr>
  </w:style>
  <w:style w:type="table" w:styleId="a5">
    <w:name w:val="Table Grid"/>
    <w:basedOn w:val="a1"/>
    <w:uiPriority w:val="59"/>
    <w:rsid w:val="00B353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C2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crb@mail.ru" TargetMode="External"/><Relationship Id="rId5" Type="http://schemas.openxmlformats.org/officeDocument/2006/relationships/hyperlink" Target="mailto:shr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9</cp:revision>
  <cp:lastPrinted>2019-04-09T09:55:00Z</cp:lastPrinted>
  <dcterms:created xsi:type="dcterms:W3CDTF">2018-12-06T02:37:00Z</dcterms:created>
  <dcterms:modified xsi:type="dcterms:W3CDTF">2019-04-09T09:58:00Z</dcterms:modified>
</cp:coreProperties>
</file>