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150811"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150811" w:rsidRPr="0085139E">
        <w:rPr>
          <w:rStyle w:val="s2"/>
          <w:bCs/>
          <w:color w:val="auto"/>
          <w:sz w:val="18"/>
          <w:szCs w:val="18"/>
          <w:u w:val="none"/>
        </w:rPr>
        <w:fldChar w:fldCharType="separate"/>
      </w:r>
      <w:r w:rsidRPr="0085139E">
        <w:rPr>
          <w:rStyle w:val="a9"/>
          <w:bCs/>
          <w:color w:val="auto"/>
          <w:sz w:val="18"/>
          <w:szCs w:val="18"/>
          <w:u w:val="none"/>
        </w:rPr>
        <w:t>приказу</w:t>
      </w:r>
      <w:r w:rsidR="00150811"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EC54A4" w:rsidRPr="002D13F3">
        <w:rPr>
          <w:spacing w:val="2"/>
          <w:sz w:val="28"/>
          <w:szCs w:val="28"/>
          <w:lang w:val="kk-KZ"/>
        </w:rPr>
        <w:t xml:space="preserve">о проведении закупа </w:t>
      </w:r>
      <w:r w:rsidR="00824926">
        <w:rPr>
          <w:spacing w:val="2"/>
          <w:sz w:val="28"/>
          <w:szCs w:val="28"/>
          <w:lang w:val="kk-KZ"/>
        </w:rPr>
        <w:t>изделий медицинского назначения</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 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20786A">
        <w:rPr>
          <w:b/>
          <w:spacing w:val="2"/>
          <w:sz w:val="28"/>
          <w:szCs w:val="28"/>
          <w:lang w:val="kk-KZ"/>
        </w:rPr>
        <w:t xml:space="preserve"> </w:t>
      </w:r>
      <w:r w:rsidR="001366BF">
        <w:rPr>
          <w:spacing w:val="2"/>
          <w:sz w:val="28"/>
          <w:szCs w:val="28"/>
          <w:lang w:val="kk-KZ"/>
        </w:rPr>
        <w:t>–</w:t>
      </w:r>
      <w:bookmarkStart w:id="1" w:name="z199"/>
      <w:bookmarkEnd w:id="1"/>
      <w:r w:rsidR="0020786A">
        <w:rPr>
          <w:spacing w:val="2"/>
          <w:sz w:val="28"/>
          <w:szCs w:val="28"/>
          <w:lang w:val="kk-KZ"/>
        </w:rPr>
        <w:t xml:space="preserve"> </w:t>
      </w:r>
      <w:r w:rsidR="00863115">
        <w:rPr>
          <w:spacing w:val="2"/>
          <w:sz w:val="28"/>
          <w:szCs w:val="28"/>
          <w:lang w:val="kk-KZ"/>
        </w:rPr>
        <w:t>до 14</w:t>
      </w:r>
      <w:r w:rsidR="00403736">
        <w:rPr>
          <w:spacing w:val="2"/>
          <w:sz w:val="28"/>
          <w:szCs w:val="28"/>
          <w:lang w:val="kk-KZ"/>
        </w:rPr>
        <w:t>ч45м</w:t>
      </w:r>
      <w:r w:rsidR="001366BF">
        <w:rPr>
          <w:spacing w:val="2"/>
          <w:sz w:val="28"/>
          <w:szCs w:val="28"/>
          <w:lang w:val="kk-KZ"/>
        </w:rPr>
        <w:t>,</w:t>
      </w:r>
      <w:r w:rsidR="00DB0C59">
        <w:rPr>
          <w:spacing w:val="2"/>
          <w:sz w:val="28"/>
          <w:szCs w:val="28"/>
          <w:lang w:val="kk-KZ"/>
        </w:rPr>
        <w:t xml:space="preserve"> 31</w:t>
      </w:r>
      <w:r w:rsidR="00863115">
        <w:rPr>
          <w:spacing w:val="2"/>
          <w:sz w:val="28"/>
          <w:szCs w:val="28"/>
          <w:lang w:val="kk-KZ"/>
        </w:rPr>
        <w:t xml:space="preserve"> марта</w:t>
      </w:r>
      <w:r w:rsidR="001366BF">
        <w:rPr>
          <w:spacing w:val="2"/>
          <w:sz w:val="28"/>
          <w:szCs w:val="28"/>
          <w:lang w:val="kk-KZ"/>
        </w:rPr>
        <w:t xml:space="preserve"> 2017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20786A">
        <w:rPr>
          <w:spacing w:val="2"/>
          <w:sz w:val="28"/>
          <w:szCs w:val="28"/>
          <w:lang w:val="kk-KZ"/>
        </w:rPr>
        <w:t xml:space="preserve"> </w:t>
      </w:r>
      <w:r w:rsidR="00863115">
        <w:rPr>
          <w:spacing w:val="2"/>
          <w:sz w:val="28"/>
          <w:szCs w:val="28"/>
          <w:lang w:val="kk-KZ"/>
        </w:rPr>
        <w:t>15</w:t>
      </w:r>
      <w:r w:rsidR="00403736">
        <w:rPr>
          <w:spacing w:val="2"/>
          <w:sz w:val="28"/>
          <w:szCs w:val="28"/>
          <w:lang w:val="kk-KZ"/>
        </w:rPr>
        <w:t>ч00м</w:t>
      </w:r>
      <w:r w:rsidR="001366BF">
        <w:rPr>
          <w:spacing w:val="2"/>
          <w:sz w:val="28"/>
          <w:szCs w:val="28"/>
          <w:lang w:val="kk-KZ"/>
        </w:rPr>
        <w:t xml:space="preserve">, </w:t>
      </w:r>
      <w:r w:rsidR="00DB0C59">
        <w:rPr>
          <w:spacing w:val="2"/>
          <w:sz w:val="28"/>
          <w:szCs w:val="28"/>
          <w:lang w:val="kk-KZ"/>
        </w:rPr>
        <w:t>31</w:t>
      </w:r>
      <w:r w:rsidR="00863115">
        <w:rPr>
          <w:spacing w:val="2"/>
          <w:sz w:val="28"/>
          <w:szCs w:val="28"/>
          <w:lang w:val="kk-KZ"/>
        </w:rPr>
        <w:t xml:space="preserve"> марта</w:t>
      </w:r>
      <w:r w:rsidR="001366BF">
        <w:rPr>
          <w:spacing w:val="2"/>
          <w:sz w:val="28"/>
          <w:szCs w:val="28"/>
          <w:lang w:val="kk-KZ"/>
        </w:rPr>
        <w:t xml:space="preserve"> 2017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получить по телефону 8(7187) 347981.</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D41A68" w:rsidRPr="00D41A68" w:rsidRDefault="00D41A68" w:rsidP="00D41A68">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xml:space="preserve">, </w:t>
      </w:r>
      <w:proofErr w:type="gramStart"/>
      <w:r w:rsidRPr="005017FD">
        <w:rPr>
          <w:sz w:val="28"/>
          <w:szCs w:val="28"/>
        </w:rPr>
        <w:t>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w:t>
      </w:r>
      <w:r w:rsidRPr="005017FD">
        <w:rPr>
          <w:sz w:val="28"/>
          <w:szCs w:val="28"/>
        </w:rPr>
        <w:lastRenderedPageBreak/>
        <w:t>№ 1729</w:t>
      </w:r>
      <w:r>
        <w:rPr>
          <w:sz w:val="28"/>
          <w:szCs w:val="28"/>
        </w:rPr>
        <w:t xml:space="preserve"> </w:t>
      </w:r>
      <w:r>
        <w:rPr>
          <w:b/>
          <w:bCs/>
          <w:sz w:val="25"/>
          <w:szCs w:val="25"/>
        </w:rPr>
        <w:t>(с изменениями и дополнениями по состоянию на 29.12.2016 г. вводятся в действие с 10.01.2017 года)</w:t>
      </w:r>
      <w:proofErr w:type="gramEnd"/>
    </w:p>
    <w:p w:rsidR="005A4AD3" w:rsidRDefault="00D41A68" w:rsidP="00140D85">
      <w:pPr>
        <w:pStyle w:val="j15"/>
        <w:shd w:val="clear" w:color="auto" w:fill="FFFFFF"/>
        <w:spacing w:before="0" w:beforeAutospacing="0" w:after="0" w:afterAutospacing="0"/>
        <w:textAlignment w:val="baseline"/>
        <w:rPr>
          <w:color w:val="000000"/>
          <w:sz w:val="28"/>
          <w:szCs w:val="28"/>
        </w:rPr>
      </w:pPr>
      <w:r w:rsidRPr="00D41A68">
        <w:rPr>
          <w:color w:val="000000"/>
          <w:sz w:val="28"/>
          <w:szCs w:val="28"/>
        </w:rPr>
        <w:t>.</w:t>
      </w:r>
      <w:r w:rsidRPr="00D41A68">
        <w:rPr>
          <w:sz w:val="28"/>
          <w:szCs w:val="28"/>
        </w:rPr>
        <w:br/>
      </w:r>
      <w:r w:rsidRPr="00D41A68">
        <w:rPr>
          <w:color w:val="000000"/>
          <w:sz w:val="28"/>
          <w:szCs w:val="28"/>
        </w:rPr>
        <w:t>      Представление потенциальным поставщиком ценового предложения является формой выражения его согласия</w:t>
      </w:r>
      <w:r>
        <w:rPr>
          <w:color w:val="000000"/>
          <w:sz w:val="28"/>
          <w:szCs w:val="28"/>
        </w:rPr>
        <w:t xml:space="preserve"> осуществить поставку товара</w:t>
      </w:r>
      <w:r w:rsidRPr="00D41A68">
        <w:rPr>
          <w:color w:val="000000"/>
          <w:sz w:val="28"/>
          <w:szCs w:val="28"/>
        </w:rPr>
        <w:t xml:space="preserve"> с соблюдением условий запроса и типового договора заку</w:t>
      </w:r>
      <w:r>
        <w:rPr>
          <w:color w:val="000000"/>
          <w:sz w:val="28"/>
          <w:szCs w:val="28"/>
        </w:rPr>
        <w:t xml:space="preserve">па </w:t>
      </w:r>
      <w:r w:rsidRPr="00D41A68">
        <w:rPr>
          <w:color w:val="000000"/>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1057" w:type="dxa"/>
        <w:tblInd w:w="-885" w:type="dxa"/>
        <w:tblLayout w:type="fixed"/>
        <w:tblLook w:val="04A0"/>
      </w:tblPr>
      <w:tblGrid>
        <w:gridCol w:w="993"/>
        <w:gridCol w:w="2835"/>
        <w:gridCol w:w="3969"/>
        <w:gridCol w:w="851"/>
        <w:gridCol w:w="850"/>
        <w:gridCol w:w="1559"/>
      </w:tblGrid>
      <w:tr w:rsidR="00863115" w:rsidTr="00C134B8">
        <w:tc>
          <w:tcPr>
            <w:tcW w:w="993" w:type="dxa"/>
          </w:tcPr>
          <w:p w:rsidR="00863115" w:rsidRPr="00905ADC" w:rsidRDefault="00863115"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2835" w:type="dxa"/>
          </w:tcPr>
          <w:p w:rsidR="00863115" w:rsidRPr="00905ADC" w:rsidRDefault="00863115"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3969" w:type="dxa"/>
          </w:tcPr>
          <w:p w:rsidR="00863115" w:rsidRPr="00905ADC" w:rsidRDefault="00824926" w:rsidP="00905ADC">
            <w:pPr>
              <w:pStyle w:val="j15"/>
              <w:spacing w:before="0" w:beforeAutospacing="0" w:after="0" w:afterAutospacing="0"/>
              <w:jc w:val="center"/>
              <w:textAlignment w:val="baseline"/>
              <w:rPr>
                <w:b/>
                <w:sz w:val="20"/>
                <w:szCs w:val="20"/>
              </w:rPr>
            </w:pPr>
            <w:r>
              <w:rPr>
                <w:b/>
                <w:sz w:val="20"/>
                <w:szCs w:val="20"/>
              </w:rPr>
              <w:t>Характеристика</w:t>
            </w:r>
          </w:p>
        </w:tc>
        <w:tc>
          <w:tcPr>
            <w:tcW w:w="851" w:type="dxa"/>
          </w:tcPr>
          <w:p w:rsidR="00863115" w:rsidRPr="00905ADC" w:rsidRDefault="00863115"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850" w:type="dxa"/>
          </w:tcPr>
          <w:p w:rsidR="00863115" w:rsidRPr="00905ADC" w:rsidRDefault="00863115"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863115" w:rsidRDefault="00863115" w:rsidP="00BE4777">
            <w:pPr>
              <w:pStyle w:val="j15"/>
              <w:spacing w:before="0" w:beforeAutospacing="0" w:after="0" w:afterAutospacing="0"/>
              <w:textAlignment w:val="baseline"/>
              <w:rPr>
                <w:b/>
                <w:sz w:val="18"/>
                <w:szCs w:val="18"/>
              </w:rPr>
            </w:pPr>
            <w:r>
              <w:rPr>
                <w:b/>
                <w:sz w:val="18"/>
                <w:szCs w:val="18"/>
              </w:rPr>
              <w:t xml:space="preserve">Выделенная        </w:t>
            </w:r>
          </w:p>
          <w:p w:rsidR="00863115" w:rsidRPr="00905ADC" w:rsidRDefault="00863115" w:rsidP="00BE4777">
            <w:pPr>
              <w:pStyle w:val="j15"/>
              <w:spacing w:before="0" w:beforeAutospacing="0" w:after="0" w:afterAutospacing="0"/>
              <w:textAlignment w:val="baseline"/>
              <w:rPr>
                <w:b/>
                <w:sz w:val="18"/>
                <w:szCs w:val="18"/>
              </w:rPr>
            </w:pPr>
            <w:r>
              <w:rPr>
                <w:b/>
                <w:sz w:val="18"/>
                <w:szCs w:val="18"/>
              </w:rPr>
              <w:t xml:space="preserve">      сумма</w:t>
            </w:r>
          </w:p>
        </w:tc>
      </w:tr>
      <w:tr w:rsidR="00824926" w:rsidRPr="00BE4777" w:rsidTr="00C134B8">
        <w:tc>
          <w:tcPr>
            <w:tcW w:w="993" w:type="dxa"/>
          </w:tcPr>
          <w:p w:rsidR="00824926" w:rsidRPr="00BE4777" w:rsidRDefault="00824926" w:rsidP="00140D85">
            <w:pPr>
              <w:pStyle w:val="j15"/>
              <w:spacing w:before="0" w:beforeAutospacing="0" w:after="0" w:afterAutospacing="0"/>
              <w:textAlignment w:val="baseline"/>
            </w:pPr>
            <w:r w:rsidRPr="00BE4777">
              <w:t>Лот №1</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 xml:space="preserve">Сенсорная кассета на 100 тестов/30 дней, полная панель с </w:t>
            </w:r>
            <w:proofErr w:type="spellStart"/>
            <w:r w:rsidRPr="00863115">
              <w:rPr>
                <w:rFonts w:ascii="Times New Roman" w:hAnsi="Times New Roman"/>
                <w:sz w:val="24"/>
                <w:szCs w:val="24"/>
              </w:rPr>
              <w:t>оксиметрией</w:t>
            </w:r>
            <w:proofErr w:type="spellEnd"/>
            <w:r w:rsidRPr="00863115">
              <w:rPr>
                <w:rFonts w:ascii="Times New Roman" w:hAnsi="Times New Roman"/>
                <w:sz w:val="24"/>
                <w:szCs w:val="24"/>
              </w:rPr>
              <w:t xml:space="preserve"> без </w:t>
            </w:r>
            <w:proofErr w:type="gramStart"/>
            <w:r w:rsidRPr="00863115">
              <w:rPr>
                <w:rFonts w:ascii="Times New Roman" w:hAnsi="Times New Roman"/>
                <w:sz w:val="24"/>
                <w:szCs w:val="24"/>
              </w:rPr>
              <w:t>глюкозы</w:t>
            </w:r>
            <w:proofErr w:type="gramEnd"/>
            <w:r w:rsidRPr="00863115">
              <w:rPr>
                <w:rFonts w:ascii="Times New Roman" w:hAnsi="Times New Roman"/>
                <w:sz w:val="24"/>
                <w:szCs w:val="24"/>
              </w:rPr>
              <w:t xml:space="preserve"> без QC3</w:t>
            </w:r>
          </w:p>
        </w:tc>
        <w:tc>
          <w:tcPr>
            <w:tcW w:w="3969" w:type="dxa"/>
            <w:vAlign w:val="center"/>
          </w:tcPr>
          <w:p w:rsidR="00824926" w:rsidRPr="00863115" w:rsidRDefault="00824926" w:rsidP="00863115">
            <w:pPr>
              <w:rPr>
                <w:rFonts w:ascii="Times New Roman" w:hAnsi="Times New Roman"/>
                <w:sz w:val="22"/>
                <w:szCs w:val="22"/>
              </w:rPr>
            </w:pPr>
            <w:r w:rsidRPr="00863115">
              <w:rPr>
                <w:rFonts w:ascii="Times New Roman" w:hAnsi="Times New Roman"/>
                <w:sz w:val="22"/>
                <w:szCs w:val="22"/>
              </w:rPr>
              <w:t xml:space="preserve">100 тестов на 30 дней без глюкозы. </w:t>
            </w:r>
            <w:proofErr w:type="gramStart"/>
            <w:r w:rsidRPr="00863115">
              <w:rPr>
                <w:rFonts w:ascii="Times New Roman" w:hAnsi="Times New Roman"/>
                <w:sz w:val="22"/>
                <w:szCs w:val="22"/>
              </w:rPr>
              <w:t>Предназначена</w:t>
            </w:r>
            <w:proofErr w:type="gramEnd"/>
            <w:r w:rsidRPr="00863115">
              <w:rPr>
                <w:rFonts w:ascii="Times New Roman" w:hAnsi="Times New Roman"/>
                <w:sz w:val="22"/>
                <w:szCs w:val="22"/>
              </w:rPr>
              <w:t xml:space="preserve"> для проведения анализов на анализаторе КЩС ABL80 СО-ОХ</w:t>
            </w:r>
          </w:p>
        </w:tc>
        <w:tc>
          <w:tcPr>
            <w:tcW w:w="851" w:type="dxa"/>
          </w:tcPr>
          <w:p w:rsidR="00C134B8" w:rsidRDefault="00C134B8" w:rsidP="00BE4777">
            <w:pPr>
              <w:pStyle w:val="j15"/>
              <w:spacing w:before="0" w:beforeAutospacing="0" w:after="0" w:afterAutospacing="0"/>
              <w:jc w:val="center"/>
              <w:textAlignment w:val="baseline"/>
            </w:pPr>
          </w:p>
          <w:p w:rsidR="00C134B8" w:rsidRDefault="00C134B8" w:rsidP="00BE4777">
            <w:pPr>
              <w:pStyle w:val="j15"/>
              <w:spacing w:before="0" w:beforeAutospacing="0" w:after="0" w:afterAutospacing="0"/>
              <w:jc w:val="center"/>
              <w:textAlignment w:val="baseline"/>
            </w:pPr>
          </w:p>
          <w:p w:rsidR="00824926" w:rsidRPr="00F80191" w:rsidRDefault="00824926" w:rsidP="00BE4777">
            <w:pPr>
              <w:pStyle w:val="j15"/>
              <w:spacing w:before="0" w:beforeAutospacing="0" w:after="0" w:afterAutospacing="0"/>
              <w:jc w:val="center"/>
              <w:textAlignment w:val="baseline"/>
            </w:pPr>
            <w:proofErr w:type="spellStart"/>
            <w:r>
              <w:t>шт</w:t>
            </w:r>
            <w:proofErr w:type="spellEnd"/>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10</w:t>
            </w:r>
          </w:p>
        </w:tc>
        <w:tc>
          <w:tcPr>
            <w:tcW w:w="1559" w:type="dxa"/>
            <w:vAlign w:val="bottom"/>
          </w:tcPr>
          <w:p w:rsidR="00824926" w:rsidRPr="00824926" w:rsidRDefault="00C134B8" w:rsidP="00824926">
            <w:pPr>
              <w:ind w:left="0"/>
              <w:rPr>
                <w:rFonts w:ascii="Times New Roman" w:hAnsi="Times New Roman"/>
                <w:sz w:val="22"/>
                <w:szCs w:val="22"/>
              </w:rPr>
            </w:pPr>
            <w:r>
              <w:rPr>
                <w:rFonts w:ascii="Times New Roman" w:hAnsi="Times New Roman"/>
                <w:sz w:val="22"/>
                <w:szCs w:val="22"/>
              </w:rPr>
              <w:t>3972</w:t>
            </w:r>
            <w:r w:rsidR="00824926" w:rsidRPr="00824926">
              <w:rPr>
                <w:rFonts w:ascii="Times New Roman" w:hAnsi="Times New Roman"/>
                <w:sz w:val="22"/>
                <w:szCs w:val="22"/>
              </w:rPr>
              <w:t>500,00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№2</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 xml:space="preserve">Сенсорная кассета на 100 тестов/30 дней, полная панель с </w:t>
            </w:r>
            <w:proofErr w:type="spellStart"/>
            <w:r w:rsidRPr="00863115">
              <w:rPr>
                <w:rFonts w:ascii="Times New Roman" w:hAnsi="Times New Roman"/>
                <w:sz w:val="24"/>
                <w:szCs w:val="24"/>
              </w:rPr>
              <w:t>оксиметрией</w:t>
            </w:r>
            <w:proofErr w:type="spellEnd"/>
            <w:r w:rsidRPr="00863115">
              <w:rPr>
                <w:rFonts w:ascii="Times New Roman" w:hAnsi="Times New Roman"/>
                <w:sz w:val="24"/>
                <w:szCs w:val="24"/>
              </w:rPr>
              <w:t xml:space="preserve"> с глюкозой без QC3</w:t>
            </w:r>
          </w:p>
        </w:tc>
        <w:tc>
          <w:tcPr>
            <w:tcW w:w="3969" w:type="dxa"/>
            <w:vAlign w:val="center"/>
          </w:tcPr>
          <w:p w:rsidR="00824926" w:rsidRPr="00863115" w:rsidRDefault="00824926" w:rsidP="00863115">
            <w:pPr>
              <w:rPr>
                <w:rFonts w:ascii="Times New Roman" w:hAnsi="Times New Roman"/>
                <w:sz w:val="22"/>
                <w:szCs w:val="22"/>
              </w:rPr>
            </w:pPr>
            <w:r w:rsidRPr="00863115">
              <w:rPr>
                <w:rFonts w:ascii="Times New Roman" w:hAnsi="Times New Roman"/>
                <w:sz w:val="22"/>
                <w:szCs w:val="22"/>
              </w:rPr>
              <w:t xml:space="preserve">101 тестов на 30 дней с глюкозой. </w:t>
            </w:r>
            <w:proofErr w:type="gramStart"/>
            <w:r w:rsidRPr="00863115">
              <w:rPr>
                <w:rFonts w:ascii="Times New Roman" w:hAnsi="Times New Roman"/>
                <w:sz w:val="22"/>
                <w:szCs w:val="22"/>
              </w:rPr>
              <w:t>Предназначена</w:t>
            </w:r>
            <w:proofErr w:type="gramEnd"/>
            <w:r w:rsidRPr="00863115">
              <w:rPr>
                <w:rFonts w:ascii="Times New Roman" w:hAnsi="Times New Roman"/>
                <w:sz w:val="22"/>
                <w:szCs w:val="22"/>
              </w:rPr>
              <w:t xml:space="preserve"> для проведения анализов на анализаторе КЩС ABL80 СО-ОХ</w:t>
            </w:r>
          </w:p>
        </w:tc>
        <w:tc>
          <w:tcPr>
            <w:tcW w:w="851" w:type="dxa"/>
          </w:tcPr>
          <w:p w:rsidR="00C134B8" w:rsidRDefault="00C134B8" w:rsidP="00BE4777">
            <w:pPr>
              <w:jc w:val="center"/>
              <w:rPr>
                <w:rFonts w:ascii="Times New Roman" w:hAnsi="Times New Roman"/>
                <w:sz w:val="24"/>
                <w:szCs w:val="24"/>
              </w:rPr>
            </w:pPr>
          </w:p>
          <w:p w:rsidR="00C134B8" w:rsidRDefault="00C134B8" w:rsidP="00BE4777">
            <w:pPr>
              <w:jc w:val="center"/>
              <w:rPr>
                <w:rFonts w:ascii="Times New Roman" w:hAnsi="Times New Roman"/>
                <w:sz w:val="24"/>
                <w:szCs w:val="24"/>
              </w:rPr>
            </w:pPr>
          </w:p>
          <w:p w:rsidR="00824926" w:rsidRPr="00F80191" w:rsidRDefault="00824926" w:rsidP="00BE4777">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2</w:t>
            </w:r>
          </w:p>
        </w:tc>
        <w:tc>
          <w:tcPr>
            <w:tcW w:w="1559" w:type="dxa"/>
            <w:vAlign w:val="bottom"/>
          </w:tcPr>
          <w:p w:rsidR="00824926" w:rsidRPr="00824926" w:rsidRDefault="00C134B8" w:rsidP="00824926">
            <w:pPr>
              <w:ind w:left="0"/>
              <w:rPr>
                <w:rFonts w:ascii="Times New Roman" w:hAnsi="Times New Roman"/>
                <w:sz w:val="22"/>
                <w:szCs w:val="22"/>
              </w:rPr>
            </w:pPr>
            <w:r>
              <w:rPr>
                <w:rFonts w:ascii="Times New Roman" w:hAnsi="Times New Roman"/>
                <w:sz w:val="22"/>
                <w:szCs w:val="22"/>
              </w:rPr>
              <w:t>1068</w:t>
            </w:r>
            <w:r w:rsidR="00824926" w:rsidRPr="00824926">
              <w:rPr>
                <w:rFonts w:ascii="Times New Roman" w:hAnsi="Times New Roman"/>
                <w:sz w:val="22"/>
                <w:szCs w:val="22"/>
              </w:rPr>
              <w:t>600,00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№3</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 xml:space="preserve"> Калибровочный блок для ABL80 FLEX CO-OX</w:t>
            </w:r>
          </w:p>
        </w:tc>
        <w:tc>
          <w:tcPr>
            <w:tcW w:w="3969" w:type="dxa"/>
            <w:vAlign w:val="center"/>
          </w:tcPr>
          <w:p w:rsidR="00824926" w:rsidRPr="00863115" w:rsidRDefault="00824926">
            <w:pPr>
              <w:rPr>
                <w:rFonts w:ascii="Times New Roman" w:hAnsi="Times New Roman"/>
                <w:sz w:val="22"/>
                <w:szCs w:val="22"/>
              </w:rPr>
            </w:pPr>
            <w:proofErr w:type="gramStart"/>
            <w:r w:rsidRPr="00863115">
              <w:rPr>
                <w:rFonts w:ascii="Times New Roman" w:hAnsi="Times New Roman"/>
                <w:sz w:val="22"/>
                <w:szCs w:val="22"/>
              </w:rPr>
              <w:t>Предназначен</w:t>
            </w:r>
            <w:proofErr w:type="gramEnd"/>
            <w:r w:rsidRPr="00863115">
              <w:rPr>
                <w:rFonts w:ascii="Times New Roman" w:hAnsi="Times New Roman"/>
                <w:sz w:val="22"/>
                <w:szCs w:val="22"/>
              </w:rPr>
              <w:t xml:space="preserve"> для проведения анализов на анализаторе КЩС ABL80 СО-ОХ</w:t>
            </w:r>
          </w:p>
        </w:tc>
        <w:tc>
          <w:tcPr>
            <w:tcW w:w="851" w:type="dxa"/>
          </w:tcPr>
          <w:p w:rsidR="00C134B8" w:rsidRDefault="00C134B8" w:rsidP="00BE4777">
            <w:pPr>
              <w:jc w:val="center"/>
              <w:rPr>
                <w:rFonts w:ascii="Times New Roman" w:hAnsi="Times New Roman"/>
                <w:sz w:val="24"/>
                <w:szCs w:val="24"/>
              </w:rPr>
            </w:pPr>
          </w:p>
          <w:p w:rsidR="00824926" w:rsidRPr="00F80191" w:rsidRDefault="00824926" w:rsidP="00BE4777">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12</w:t>
            </w:r>
          </w:p>
        </w:tc>
        <w:tc>
          <w:tcPr>
            <w:tcW w:w="1559" w:type="dxa"/>
            <w:vAlign w:val="bottom"/>
          </w:tcPr>
          <w:p w:rsidR="00824926" w:rsidRPr="00824926" w:rsidRDefault="00C134B8" w:rsidP="00824926">
            <w:pPr>
              <w:jc w:val="center"/>
              <w:rPr>
                <w:rFonts w:ascii="Times New Roman" w:hAnsi="Times New Roman"/>
                <w:sz w:val="22"/>
                <w:szCs w:val="22"/>
              </w:rPr>
            </w:pPr>
            <w:r>
              <w:rPr>
                <w:rFonts w:ascii="Times New Roman" w:hAnsi="Times New Roman"/>
                <w:sz w:val="22"/>
                <w:szCs w:val="22"/>
              </w:rPr>
              <w:t>787</w:t>
            </w:r>
            <w:r w:rsidR="00824926" w:rsidRPr="00824926">
              <w:rPr>
                <w:rFonts w:ascii="Times New Roman" w:hAnsi="Times New Roman"/>
                <w:sz w:val="22"/>
                <w:szCs w:val="22"/>
              </w:rPr>
              <w:t>200,00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№4</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 xml:space="preserve">Калибровочный раствор </w:t>
            </w:r>
            <w:proofErr w:type="spellStart"/>
            <w:r w:rsidRPr="00863115">
              <w:rPr>
                <w:rFonts w:ascii="Times New Roman" w:hAnsi="Times New Roman"/>
                <w:sz w:val="24"/>
                <w:szCs w:val="24"/>
              </w:rPr>
              <w:t>tHb</w:t>
            </w:r>
            <w:proofErr w:type="spellEnd"/>
            <w:r w:rsidRPr="00863115">
              <w:rPr>
                <w:rFonts w:ascii="Times New Roman" w:hAnsi="Times New Roman"/>
                <w:sz w:val="24"/>
                <w:szCs w:val="24"/>
              </w:rPr>
              <w:t xml:space="preserve"> в </w:t>
            </w:r>
            <w:proofErr w:type="spellStart"/>
            <w:r w:rsidRPr="00863115">
              <w:rPr>
                <w:rFonts w:ascii="Times New Roman" w:hAnsi="Times New Roman"/>
                <w:sz w:val="24"/>
                <w:szCs w:val="24"/>
              </w:rPr>
              <w:t>упак</w:t>
            </w:r>
            <w:proofErr w:type="spellEnd"/>
            <w:r w:rsidRPr="00863115">
              <w:rPr>
                <w:rFonts w:ascii="Times New Roman" w:hAnsi="Times New Roman"/>
                <w:sz w:val="24"/>
                <w:szCs w:val="24"/>
              </w:rPr>
              <w:t xml:space="preserve">. 4 </w:t>
            </w:r>
            <w:proofErr w:type="spellStart"/>
            <w:r w:rsidRPr="00863115">
              <w:rPr>
                <w:rFonts w:ascii="Times New Roman" w:hAnsi="Times New Roman"/>
                <w:sz w:val="24"/>
                <w:szCs w:val="24"/>
              </w:rPr>
              <w:t>амп</w:t>
            </w:r>
            <w:proofErr w:type="spellEnd"/>
            <w:r w:rsidRPr="00863115">
              <w:rPr>
                <w:rFonts w:ascii="Times New Roman" w:hAnsi="Times New Roman"/>
                <w:sz w:val="24"/>
                <w:szCs w:val="24"/>
              </w:rPr>
              <w:t>.</w:t>
            </w:r>
          </w:p>
        </w:tc>
        <w:tc>
          <w:tcPr>
            <w:tcW w:w="3969" w:type="dxa"/>
            <w:vAlign w:val="center"/>
          </w:tcPr>
          <w:p w:rsidR="00824926" w:rsidRPr="00863115" w:rsidRDefault="00824926">
            <w:pPr>
              <w:rPr>
                <w:rFonts w:ascii="Times New Roman" w:hAnsi="Times New Roman"/>
                <w:sz w:val="22"/>
                <w:szCs w:val="22"/>
              </w:rPr>
            </w:pPr>
            <w:r w:rsidRPr="00863115">
              <w:rPr>
                <w:rFonts w:ascii="Times New Roman" w:hAnsi="Times New Roman"/>
                <w:sz w:val="22"/>
                <w:szCs w:val="22"/>
              </w:rPr>
              <w:t>Применяется для автоматической калибровки системы анализатора по гемоглобину на анализаторе КЩС ABL80 СО-ОХ</w:t>
            </w:r>
          </w:p>
        </w:tc>
        <w:tc>
          <w:tcPr>
            <w:tcW w:w="851" w:type="dxa"/>
          </w:tcPr>
          <w:p w:rsidR="00824926" w:rsidRPr="00F80191" w:rsidRDefault="00824926" w:rsidP="00BE4777">
            <w:pPr>
              <w:jc w:val="center"/>
              <w:rPr>
                <w:rFonts w:ascii="Times New Roman" w:hAnsi="Times New Roman"/>
                <w:sz w:val="24"/>
                <w:szCs w:val="24"/>
              </w:rPr>
            </w:pPr>
            <w:r w:rsidRPr="00F80191">
              <w:rPr>
                <w:rFonts w:ascii="Times New Roman" w:hAnsi="Times New Roman"/>
                <w:sz w:val="24"/>
                <w:szCs w:val="24"/>
              </w:rPr>
              <w:t>флакон</w:t>
            </w:r>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1</w:t>
            </w:r>
          </w:p>
        </w:tc>
        <w:tc>
          <w:tcPr>
            <w:tcW w:w="1559" w:type="dxa"/>
            <w:vAlign w:val="bottom"/>
          </w:tcPr>
          <w:p w:rsidR="00824926" w:rsidRPr="00824926" w:rsidRDefault="00C134B8" w:rsidP="00824926">
            <w:pPr>
              <w:jc w:val="center"/>
              <w:rPr>
                <w:rFonts w:ascii="Times New Roman" w:hAnsi="Times New Roman"/>
                <w:sz w:val="22"/>
                <w:szCs w:val="22"/>
              </w:rPr>
            </w:pPr>
            <w:r>
              <w:rPr>
                <w:rFonts w:ascii="Times New Roman" w:hAnsi="Times New Roman"/>
                <w:sz w:val="22"/>
                <w:szCs w:val="22"/>
              </w:rPr>
              <w:t>53</w:t>
            </w:r>
            <w:r w:rsidR="00824926" w:rsidRPr="00824926">
              <w:rPr>
                <w:rFonts w:ascii="Times New Roman" w:hAnsi="Times New Roman"/>
                <w:sz w:val="22"/>
                <w:szCs w:val="22"/>
              </w:rPr>
              <w:t>000,00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№5</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Термобумага для принтера в рулоне (6 шт.)</w:t>
            </w:r>
          </w:p>
        </w:tc>
        <w:tc>
          <w:tcPr>
            <w:tcW w:w="3969" w:type="dxa"/>
            <w:vAlign w:val="center"/>
          </w:tcPr>
          <w:p w:rsidR="00824926" w:rsidRPr="00863115" w:rsidRDefault="00824926">
            <w:pPr>
              <w:rPr>
                <w:rFonts w:ascii="Times New Roman" w:hAnsi="Times New Roman"/>
                <w:sz w:val="22"/>
                <w:szCs w:val="22"/>
              </w:rPr>
            </w:pPr>
            <w:proofErr w:type="gramStart"/>
            <w:r w:rsidRPr="00863115">
              <w:rPr>
                <w:rFonts w:ascii="Times New Roman" w:hAnsi="Times New Roman"/>
                <w:sz w:val="22"/>
                <w:szCs w:val="22"/>
              </w:rPr>
              <w:t>Предназначена</w:t>
            </w:r>
            <w:proofErr w:type="gramEnd"/>
            <w:r w:rsidRPr="00863115">
              <w:rPr>
                <w:rFonts w:ascii="Times New Roman" w:hAnsi="Times New Roman"/>
                <w:sz w:val="22"/>
                <w:szCs w:val="22"/>
              </w:rPr>
              <w:t xml:space="preserve"> для распечатки результатов анализов на анализаторе КЩС ABL80 СО-ОХ</w:t>
            </w:r>
          </w:p>
        </w:tc>
        <w:tc>
          <w:tcPr>
            <w:tcW w:w="851" w:type="dxa"/>
          </w:tcPr>
          <w:p w:rsidR="00C134B8" w:rsidRDefault="00C134B8" w:rsidP="00BE4777">
            <w:pPr>
              <w:jc w:val="center"/>
              <w:rPr>
                <w:rFonts w:ascii="Times New Roman" w:hAnsi="Times New Roman"/>
                <w:sz w:val="24"/>
                <w:szCs w:val="24"/>
              </w:rPr>
            </w:pPr>
          </w:p>
          <w:p w:rsidR="00824926" w:rsidRPr="00F80191" w:rsidRDefault="00824926" w:rsidP="00BE4777">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3</w:t>
            </w:r>
          </w:p>
        </w:tc>
        <w:tc>
          <w:tcPr>
            <w:tcW w:w="1559" w:type="dxa"/>
            <w:vAlign w:val="bottom"/>
          </w:tcPr>
          <w:p w:rsidR="00824926" w:rsidRPr="00824926" w:rsidRDefault="00C134B8" w:rsidP="00824926">
            <w:pPr>
              <w:jc w:val="center"/>
              <w:rPr>
                <w:rFonts w:ascii="Times New Roman" w:hAnsi="Times New Roman"/>
                <w:sz w:val="22"/>
                <w:szCs w:val="22"/>
              </w:rPr>
            </w:pPr>
            <w:r>
              <w:rPr>
                <w:rFonts w:ascii="Times New Roman" w:hAnsi="Times New Roman"/>
                <w:sz w:val="22"/>
                <w:szCs w:val="22"/>
              </w:rPr>
              <w:t>87</w:t>
            </w:r>
            <w:r w:rsidR="00824926" w:rsidRPr="00824926">
              <w:rPr>
                <w:rFonts w:ascii="Times New Roman" w:hAnsi="Times New Roman"/>
                <w:sz w:val="22"/>
                <w:szCs w:val="22"/>
              </w:rPr>
              <w:t>000,00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№6</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 xml:space="preserve">Раствор контроля качества </w:t>
            </w:r>
            <w:proofErr w:type="spellStart"/>
            <w:r w:rsidRPr="00863115">
              <w:rPr>
                <w:rFonts w:ascii="Times New Roman" w:hAnsi="Times New Roman"/>
                <w:sz w:val="24"/>
                <w:szCs w:val="24"/>
              </w:rPr>
              <w:t>Range+Qualicheck</w:t>
            </w:r>
            <w:proofErr w:type="spellEnd"/>
            <w:r w:rsidRPr="00863115">
              <w:rPr>
                <w:rFonts w:ascii="Times New Roman" w:hAnsi="Times New Roman"/>
                <w:sz w:val="24"/>
                <w:szCs w:val="24"/>
              </w:rPr>
              <w:t>: уровень 1 (30 ампул)</w:t>
            </w:r>
          </w:p>
        </w:tc>
        <w:tc>
          <w:tcPr>
            <w:tcW w:w="3969" w:type="dxa"/>
            <w:vAlign w:val="center"/>
          </w:tcPr>
          <w:p w:rsidR="00824926" w:rsidRPr="00863115" w:rsidRDefault="00824926">
            <w:pPr>
              <w:rPr>
                <w:rFonts w:ascii="Times New Roman" w:hAnsi="Times New Roman"/>
                <w:sz w:val="22"/>
                <w:szCs w:val="22"/>
              </w:rPr>
            </w:pPr>
            <w:proofErr w:type="gramStart"/>
            <w:r w:rsidRPr="00863115">
              <w:rPr>
                <w:rFonts w:ascii="Times New Roman" w:hAnsi="Times New Roman"/>
                <w:sz w:val="22"/>
                <w:szCs w:val="22"/>
              </w:rPr>
              <w:t>Предназначен</w:t>
            </w:r>
            <w:proofErr w:type="gramEnd"/>
            <w:r w:rsidRPr="00863115">
              <w:rPr>
                <w:rFonts w:ascii="Times New Roman" w:hAnsi="Times New Roman"/>
                <w:sz w:val="22"/>
                <w:szCs w:val="22"/>
              </w:rPr>
              <w:t xml:space="preserve"> для контроля параметров для анализатора КЩС ABL80 СО-ОХ.</w:t>
            </w:r>
          </w:p>
        </w:tc>
        <w:tc>
          <w:tcPr>
            <w:tcW w:w="851" w:type="dxa"/>
          </w:tcPr>
          <w:p w:rsidR="00824926" w:rsidRPr="00F80191" w:rsidRDefault="00824926" w:rsidP="00BE4777">
            <w:pPr>
              <w:jc w:val="center"/>
              <w:rPr>
                <w:rFonts w:ascii="Times New Roman" w:hAnsi="Times New Roman"/>
                <w:sz w:val="24"/>
                <w:szCs w:val="24"/>
              </w:rPr>
            </w:pPr>
            <w:r w:rsidRPr="00F80191">
              <w:rPr>
                <w:rFonts w:ascii="Times New Roman" w:hAnsi="Times New Roman"/>
                <w:sz w:val="24"/>
                <w:szCs w:val="24"/>
              </w:rPr>
              <w:t>флакон</w:t>
            </w:r>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1</w:t>
            </w:r>
          </w:p>
        </w:tc>
        <w:tc>
          <w:tcPr>
            <w:tcW w:w="1559" w:type="dxa"/>
            <w:vAlign w:val="bottom"/>
          </w:tcPr>
          <w:p w:rsidR="00824926" w:rsidRPr="00824926" w:rsidRDefault="00C134B8" w:rsidP="00824926">
            <w:pPr>
              <w:jc w:val="center"/>
              <w:rPr>
                <w:rFonts w:ascii="Times New Roman" w:hAnsi="Times New Roman"/>
                <w:sz w:val="22"/>
                <w:szCs w:val="22"/>
              </w:rPr>
            </w:pPr>
            <w:r>
              <w:rPr>
                <w:rFonts w:ascii="Times New Roman" w:hAnsi="Times New Roman"/>
                <w:sz w:val="22"/>
                <w:szCs w:val="22"/>
              </w:rPr>
              <w:t>157</w:t>
            </w:r>
            <w:r w:rsidR="00824926" w:rsidRPr="00824926">
              <w:rPr>
                <w:rFonts w:ascii="Times New Roman" w:hAnsi="Times New Roman"/>
                <w:sz w:val="22"/>
                <w:szCs w:val="22"/>
              </w:rPr>
              <w:t>700,00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w:t>
            </w:r>
            <w:r>
              <w:rPr>
                <w:rFonts w:ascii="Times New Roman" w:hAnsi="Times New Roman"/>
                <w:sz w:val="24"/>
                <w:szCs w:val="24"/>
              </w:rPr>
              <w:t>7</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 xml:space="preserve">Раствор контроля качества </w:t>
            </w:r>
            <w:proofErr w:type="spellStart"/>
            <w:r w:rsidRPr="00863115">
              <w:rPr>
                <w:rFonts w:ascii="Times New Roman" w:hAnsi="Times New Roman"/>
                <w:sz w:val="24"/>
                <w:szCs w:val="24"/>
              </w:rPr>
              <w:t>Range+Qualicheck</w:t>
            </w:r>
            <w:proofErr w:type="spellEnd"/>
            <w:r w:rsidRPr="00863115">
              <w:rPr>
                <w:rFonts w:ascii="Times New Roman" w:hAnsi="Times New Roman"/>
                <w:sz w:val="24"/>
                <w:szCs w:val="24"/>
              </w:rPr>
              <w:t>: уровень 2 (30 ампул)</w:t>
            </w:r>
          </w:p>
        </w:tc>
        <w:tc>
          <w:tcPr>
            <w:tcW w:w="3969" w:type="dxa"/>
            <w:vAlign w:val="center"/>
          </w:tcPr>
          <w:p w:rsidR="00824926" w:rsidRPr="00863115" w:rsidRDefault="00824926">
            <w:pPr>
              <w:rPr>
                <w:rFonts w:ascii="Times New Roman" w:hAnsi="Times New Roman"/>
                <w:sz w:val="22"/>
                <w:szCs w:val="22"/>
              </w:rPr>
            </w:pPr>
            <w:proofErr w:type="gramStart"/>
            <w:r w:rsidRPr="00863115">
              <w:rPr>
                <w:rFonts w:ascii="Times New Roman" w:hAnsi="Times New Roman"/>
                <w:sz w:val="22"/>
                <w:szCs w:val="22"/>
              </w:rPr>
              <w:t>Предназначен</w:t>
            </w:r>
            <w:proofErr w:type="gramEnd"/>
            <w:r w:rsidRPr="00863115">
              <w:rPr>
                <w:rFonts w:ascii="Times New Roman" w:hAnsi="Times New Roman"/>
                <w:sz w:val="22"/>
                <w:szCs w:val="22"/>
              </w:rPr>
              <w:t xml:space="preserve"> для контроля параметров для анализатора КЩС ABL80 СО-ОХ.</w:t>
            </w:r>
          </w:p>
        </w:tc>
        <w:tc>
          <w:tcPr>
            <w:tcW w:w="851" w:type="dxa"/>
          </w:tcPr>
          <w:p w:rsidR="00824926" w:rsidRPr="00F80191" w:rsidRDefault="00824926" w:rsidP="00BE4777">
            <w:pPr>
              <w:jc w:val="center"/>
              <w:rPr>
                <w:rFonts w:ascii="Times New Roman" w:hAnsi="Times New Roman"/>
                <w:sz w:val="24"/>
                <w:szCs w:val="24"/>
              </w:rPr>
            </w:pPr>
            <w:r w:rsidRPr="00F80191">
              <w:rPr>
                <w:rFonts w:ascii="Times New Roman" w:hAnsi="Times New Roman"/>
                <w:sz w:val="24"/>
                <w:szCs w:val="24"/>
              </w:rPr>
              <w:t>флакон</w:t>
            </w:r>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1</w:t>
            </w:r>
          </w:p>
        </w:tc>
        <w:tc>
          <w:tcPr>
            <w:tcW w:w="1559" w:type="dxa"/>
            <w:vAlign w:val="bottom"/>
          </w:tcPr>
          <w:p w:rsidR="00824926" w:rsidRPr="00824926" w:rsidRDefault="00824926" w:rsidP="00824926">
            <w:pPr>
              <w:jc w:val="center"/>
              <w:rPr>
                <w:rFonts w:ascii="Times New Roman" w:hAnsi="Times New Roman"/>
                <w:sz w:val="22"/>
                <w:szCs w:val="22"/>
              </w:rPr>
            </w:pPr>
            <w:r w:rsidRPr="00824926">
              <w:rPr>
                <w:rFonts w:ascii="Times New Roman" w:hAnsi="Times New Roman"/>
                <w:sz w:val="22"/>
                <w:szCs w:val="22"/>
              </w:rPr>
              <w:t>157700,00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w:t>
            </w:r>
            <w:r>
              <w:rPr>
                <w:rFonts w:ascii="Times New Roman" w:hAnsi="Times New Roman"/>
                <w:sz w:val="24"/>
                <w:szCs w:val="24"/>
              </w:rPr>
              <w:t>8</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 xml:space="preserve">Раствор контроля качества </w:t>
            </w:r>
            <w:proofErr w:type="spellStart"/>
            <w:r w:rsidRPr="00863115">
              <w:rPr>
                <w:rFonts w:ascii="Times New Roman" w:hAnsi="Times New Roman"/>
                <w:sz w:val="24"/>
                <w:szCs w:val="24"/>
              </w:rPr>
              <w:t>Range+Qualicheck</w:t>
            </w:r>
            <w:proofErr w:type="spellEnd"/>
            <w:r w:rsidRPr="00863115">
              <w:rPr>
                <w:rFonts w:ascii="Times New Roman" w:hAnsi="Times New Roman"/>
                <w:sz w:val="24"/>
                <w:szCs w:val="24"/>
              </w:rPr>
              <w:t>: уровень 3 (30 ампул)</w:t>
            </w:r>
          </w:p>
        </w:tc>
        <w:tc>
          <w:tcPr>
            <w:tcW w:w="3969" w:type="dxa"/>
            <w:vAlign w:val="center"/>
          </w:tcPr>
          <w:p w:rsidR="00824926" w:rsidRPr="00863115" w:rsidRDefault="00824926">
            <w:pPr>
              <w:rPr>
                <w:rFonts w:ascii="Times New Roman" w:hAnsi="Times New Roman"/>
                <w:sz w:val="22"/>
                <w:szCs w:val="22"/>
              </w:rPr>
            </w:pPr>
            <w:proofErr w:type="gramStart"/>
            <w:r w:rsidRPr="00863115">
              <w:rPr>
                <w:rFonts w:ascii="Times New Roman" w:hAnsi="Times New Roman"/>
                <w:sz w:val="22"/>
                <w:szCs w:val="22"/>
              </w:rPr>
              <w:t>Предназначен</w:t>
            </w:r>
            <w:proofErr w:type="gramEnd"/>
            <w:r w:rsidRPr="00863115">
              <w:rPr>
                <w:rFonts w:ascii="Times New Roman" w:hAnsi="Times New Roman"/>
                <w:sz w:val="22"/>
                <w:szCs w:val="22"/>
              </w:rPr>
              <w:t xml:space="preserve"> для контроля параметров для анализатора КЩС ABL80 СО-ОХ.</w:t>
            </w:r>
          </w:p>
        </w:tc>
        <w:tc>
          <w:tcPr>
            <w:tcW w:w="851" w:type="dxa"/>
          </w:tcPr>
          <w:p w:rsidR="00824926" w:rsidRPr="00F80191" w:rsidRDefault="00824926" w:rsidP="00BE4777">
            <w:pPr>
              <w:jc w:val="center"/>
              <w:rPr>
                <w:rFonts w:ascii="Times New Roman" w:hAnsi="Times New Roman"/>
                <w:sz w:val="24"/>
                <w:szCs w:val="24"/>
              </w:rPr>
            </w:pPr>
            <w:r w:rsidRPr="00F80191">
              <w:rPr>
                <w:rFonts w:ascii="Times New Roman" w:hAnsi="Times New Roman"/>
                <w:sz w:val="24"/>
                <w:szCs w:val="24"/>
              </w:rPr>
              <w:t>флакон</w:t>
            </w:r>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1</w:t>
            </w:r>
          </w:p>
        </w:tc>
        <w:tc>
          <w:tcPr>
            <w:tcW w:w="1559" w:type="dxa"/>
            <w:vAlign w:val="bottom"/>
          </w:tcPr>
          <w:p w:rsidR="00824926" w:rsidRPr="00824926" w:rsidRDefault="00C134B8" w:rsidP="00824926">
            <w:pPr>
              <w:jc w:val="center"/>
              <w:rPr>
                <w:rFonts w:ascii="Times New Roman" w:hAnsi="Times New Roman"/>
                <w:sz w:val="22"/>
                <w:szCs w:val="22"/>
              </w:rPr>
            </w:pPr>
            <w:r>
              <w:rPr>
                <w:rFonts w:ascii="Times New Roman" w:hAnsi="Times New Roman"/>
                <w:sz w:val="22"/>
                <w:szCs w:val="22"/>
              </w:rPr>
              <w:t>157</w:t>
            </w:r>
            <w:r w:rsidR="00824926" w:rsidRPr="00824926">
              <w:rPr>
                <w:rFonts w:ascii="Times New Roman" w:hAnsi="Times New Roman"/>
                <w:sz w:val="22"/>
                <w:szCs w:val="22"/>
              </w:rPr>
              <w:t>700,00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w:t>
            </w:r>
            <w:r>
              <w:rPr>
                <w:rFonts w:ascii="Times New Roman" w:hAnsi="Times New Roman"/>
                <w:sz w:val="24"/>
                <w:szCs w:val="24"/>
              </w:rPr>
              <w:t>9</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 xml:space="preserve">Раствор контроля качества </w:t>
            </w:r>
            <w:proofErr w:type="spellStart"/>
            <w:r w:rsidRPr="00863115">
              <w:rPr>
                <w:rFonts w:ascii="Times New Roman" w:hAnsi="Times New Roman"/>
                <w:sz w:val="24"/>
                <w:szCs w:val="24"/>
              </w:rPr>
              <w:t>Range+Qualicheck</w:t>
            </w:r>
            <w:proofErr w:type="spellEnd"/>
            <w:r w:rsidRPr="00863115">
              <w:rPr>
                <w:rFonts w:ascii="Times New Roman" w:hAnsi="Times New Roman"/>
                <w:sz w:val="24"/>
                <w:szCs w:val="24"/>
              </w:rPr>
              <w:t>: уровень 4  (30 ампул)</w:t>
            </w:r>
          </w:p>
        </w:tc>
        <w:tc>
          <w:tcPr>
            <w:tcW w:w="3969" w:type="dxa"/>
            <w:vAlign w:val="bottom"/>
          </w:tcPr>
          <w:p w:rsidR="00824926" w:rsidRPr="00863115" w:rsidRDefault="00824926">
            <w:pPr>
              <w:rPr>
                <w:rFonts w:ascii="Times New Roman" w:hAnsi="Times New Roman"/>
                <w:color w:val="000000"/>
                <w:sz w:val="22"/>
                <w:szCs w:val="22"/>
              </w:rPr>
            </w:pPr>
            <w:proofErr w:type="gramStart"/>
            <w:r w:rsidRPr="00863115">
              <w:rPr>
                <w:rFonts w:ascii="Times New Roman" w:hAnsi="Times New Roman"/>
                <w:color w:val="000000"/>
                <w:sz w:val="22"/>
                <w:szCs w:val="22"/>
              </w:rPr>
              <w:t>Предназначен</w:t>
            </w:r>
            <w:proofErr w:type="gramEnd"/>
            <w:r w:rsidRPr="00863115">
              <w:rPr>
                <w:rFonts w:ascii="Times New Roman" w:hAnsi="Times New Roman"/>
                <w:color w:val="000000"/>
                <w:sz w:val="22"/>
                <w:szCs w:val="22"/>
              </w:rPr>
              <w:t xml:space="preserve"> для контроля параметров для анализатора КЩС ABL80 СО-ОХ.</w:t>
            </w:r>
          </w:p>
        </w:tc>
        <w:tc>
          <w:tcPr>
            <w:tcW w:w="851" w:type="dxa"/>
          </w:tcPr>
          <w:p w:rsidR="00824926" w:rsidRPr="00F80191" w:rsidRDefault="00824926" w:rsidP="00BE4777">
            <w:pPr>
              <w:jc w:val="center"/>
              <w:rPr>
                <w:rFonts w:ascii="Times New Roman" w:hAnsi="Times New Roman"/>
                <w:sz w:val="24"/>
                <w:szCs w:val="24"/>
              </w:rPr>
            </w:pPr>
            <w:r w:rsidRPr="00F80191">
              <w:rPr>
                <w:rFonts w:ascii="Times New Roman" w:hAnsi="Times New Roman"/>
                <w:sz w:val="24"/>
                <w:szCs w:val="24"/>
              </w:rPr>
              <w:t>флакон</w:t>
            </w:r>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1</w:t>
            </w:r>
          </w:p>
        </w:tc>
        <w:tc>
          <w:tcPr>
            <w:tcW w:w="1559" w:type="dxa"/>
            <w:vAlign w:val="bottom"/>
          </w:tcPr>
          <w:p w:rsidR="00824926" w:rsidRPr="00824926" w:rsidRDefault="00C134B8" w:rsidP="00824926">
            <w:pPr>
              <w:jc w:val="center"/>
              <w:rPr>
                <w:rFonts w:ascii="Times New Roman" w:hAnsi="Times New Roman"/>
                <w:sz w:val="22"/>
                <w:szCs w:val="22"/>
              </w:rPr>
            </w:pPr>
            <w:r>
              <w:rPr>
                <w:rFonts w:ascii="Times New Roman" w:hAnsi="Times New Roman"/>
                <w:sz w:val="22"/>
                <w:szCs w:val="22"/>
              </w:rPr>
              <w:t>157</w:t>
            </w:r>
            <w:r w:rsidR="00824926" w:rsidRPr="00824926">
              <w:rPr>
                <w:rFonts w:ascii="Times New Roman" w:hAnsi="Times New Roman"/>
                <w:sz w:val="22"/>
                <w:szCs w:val="22"/>
              </w:rPr>
              <w:t>700,00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w:t>
            </w:r>
            <w:r>
              <w:rPr>
                <w:rFonts w:ascii="Times New Roman" w:hAnsi="Times New Roman"/>
                <w:sz w:val="24"/>
                <w:szCs w:val="24"/>
              </w:rPr>
              <w:t>10</w:t>
            </w:r>
          </w:p>
        </w:tc>
        <w:tc>
          <w:tcPr>
            <w:tcW w:w="2835" w:type="dxa"/>
            <w:vAlign w:val="center"/>
          </w:tcPr>
          <w:p w:rsidR="00824926" w:rsidRPr="00863115" w:rsidRDefault="00824926">
            <w:pPr>
              <w:rPr>
                <w:rFonts w:ascii="Times New Roman" w:hAnsi="Times New Roman"/>
                <w:sz w:val="24"/>
                <w:szCs w:val="24"/>
              </w:rPr>
            </w:pPr>
            <w:r w:rsidRPr="00863115">
              <w:rPr>
                <w:rFonts w:ascii="Times New Roman" w:hAnsi="Times New Roman"/>
                <w:sz w:val="24"/>
                <w:szCs w:val="24"/>
              </w:rPr>
              <w:t xml:space="preserve">Шприцы </w:t>
            </w:r>
            <w:proofErr w:type="spellStart"/>
            <w:r w:rsidRPr="00863115">
              <w:rPr>
                <w:rFonts w:ascii="Times New Roman" w:hAnsi="Times New Roman"/>
                <w:sz w:val="24"/>
                <w:szCs w:val="24"/>
              </w:rPr>
              <w:t>Pico</w:t>
            </w:r>
            <w:proofErr w:type="spellEnd"/>
            <w:r w:rsidRPr="00863115">
              <w:rPr>
                <w:rFonts w:ascii="Times New Roman" w:hAnsi="Times New Roman"/>
                <w:sz w:val="24"/>
                <w:szCs w:val="24"/>
              </w:rPr>
              <w:t xml:space="preserve"> с сухим гепарином для взятия артериальной крови Pico50 объемом 2.0 мл (артериальные, без иглы, 1 коробка 100 штук) </w:t>
            </w:r>
          </w:p>
        </w:tc>
        <w:tc>
          <w:tcPr>
            <w:tcW w:w="3969" w:type="dxa"/>
            <w:vAlign w:val="bottom"/>
          </w:tcPr>
          <w:p w:rsidR="00824926" w:rsidRPr="00863115" w:rsidRDefault="00824926">
            <w:pPr>
              <w:rPr>
                <w:rFonts w:ascii="Times New Roman" w:hAnsi="Times New Roman"/>
                <w:color w:val="000000"/>
                <w:sz w:val="22"/>
                <w:szCs w:val="22"/>
              </w:rPr>
            </w:pPr>
            <w:proofErr w:type="spellStart"/>
            <w:r w:rsidRPr="00863115">
              <w:rPr>
                <w:rFonts w:ascii="Times New Roman" w:hAnsi="Times New Roman"/>
                <w:color w:val="000000"/>
                <w:sz w:val="22"/>
                <w:szCs w:val="22"/>
              </w:rPr>
              <w:t>Гепаринизированы</w:t>
            </w:r>
            <w:proofErr w:type="spellEnd"/>
            <w:r w:rsidRPr="00863115">
              <w:rPr>
                <w:rFonts w:ascii="Times New Roman" w:hAnsi="Times New Roman"/>
                <w:color w:val="000000"/>
                <w:sz w:val="22"/>
                <w:szCs w:val="22"/>
              </w:rPr>
              <w:t xml:space="preserve">. </w:t>
            </w:r>
            <w:proofErr w:type="gramStart"/>
            <w:r w:rsidRPr="00863115">
              <w:rPr>
                <w:rFonts w:ascii="Times New Roman" w:hAnsi="Times New Roman"/>
                <w:color w:val="000000"/>
                <w:sz w:val="22"/>
                <w:szCs w:val="22"/>
              </w:rPr>
              <w:t>Предназначены для проведения тестов взрослым на анализаторе КЩС ABL80 СО-ОХ</w:t>
            </w:r>
            <w:proofErr w:type="gramEnd"/>
          </w:p>
        </w:tc>
        <w:tc>
          <w:tcPr>
            <w:tcW w:w="851" w:type="dxa"/>
          </w:tcPr>
          <w:p w:rsidR="00C134B8" w:rsidRDefault="00C134B8" w:rsidP="00BE4777">
            <w:pPr>
              <w:jc w:val="center"/>
              <w:rPr>
                <w:rFonts w:ascii="Times New Roman" w:hAnsi="Times New Roman"/>
                <w:sz w:val="24"/>
                <w:szCs w:val="24"/>
              </w:rPr>
            </w:pPr>
          </w:p>
          <w:p w:rsidR="00C134B8" w:rsidRDefault="00C134B8" w:rsidP="00BE4777">
            <w:pPr>
              <w:jc w:val="center"/>
              <w:rPr>
                <w:rFonts w:ascii="Times New Roman" w:hAnsi="Times New Roman"/>
                <w:sz w:val="24"/>
                <w:szCs w:val="24"/>
              </w:rPr>
            </w:pPr>
          </w:p>
          <w:p w:rsidR="00C134B8" w:rsidRDefault="00C134B8" w:rsidP="00BE4777">
            <w:pPr>
              <w:jc w:val="center"/>
              <w:rPr>
                <w:rFonts w:ascii="Times New Roman" w:hAnsi="Times New Roman"/>
                <w:sz w:val="24"/>
                <w:szCs w:val="24"/>
              </w:rPr>
            </w:pPr>
          </w:p>
          <w:p w:rsidR="00824926" w:rsidRPr="00F80191" w:rsidRDefault="00824926" w:rsidP="00BE4777">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6</w:t>
            </w:r>
          </w:p>
        </w:tc>
        <w:tc>
          <w:tcPr>
            <w:tcW w:w="1559" w:type="dxa"/>
            <w:vAlign w:val="bottom"/>
          </w:tcPr>
          <w:p w:rsidR="00824926" w:rsidRPr="00824926" w:rsidRDefault="00C134B8" w:rsidP="00824926">
            <w:pPr>
              <w:jc w:val="center"/>
              <w:rPr>
                <w:rFonts w:ascii="Times New Roman" w:hAnsi="Times New Roman"/>
                <w:sz w:val="22"/>
                <w:szCs w:val="22"/>
              </w:rPr>
            </w:pPr>
            <w:r>
              <w:rPr>
                <w:rFonts w:ascii="Times New Roman" w:hAnsi="Times New Roman"/>
                <w:sz w:val="22"/>
                <w:szCs w:val="22"/>
              </w:rPr>
              <w:t>300</w:t>
            </w:r>
            <w:r w:rsidR="00824926" w:rsidRPr="00824926">
              <w:rPr>
                <w:rFonts w:ascii="Times New Roman" w:hAnsi="Times New Roman"/>
                <w:sz w:val="22"/>
                <w:szCs w:val="22"/>
              </w:rPr>
              <w:t>600,00</w:t>
            </w:r>
          </w:p>
        </w:tc>
      </w:tr>
      <w:tr w:rsidR="00824926" w:rsidRPr="00BE4777" w:rsidTr="00C134B8">
        <w:tc>
          <w:tcPr>
            <w:tcW w:w="993" w:type="dxa"/>
          </w:tcPr>
          <w:p w:rsidR="00824926" w:rsidRPr="00BE4777" w:rsidRDefault="00824926">
            <w:pPr>
              <w:rPr>
                <w:rFonts w:ascii="Times New Roman" w:hAnsi="Times New Roman"/>
                <w:sz w:val="24"/>
                <w:szCs w:val="24"/>
              </w:rPr>
            </w:pPr>
            <w:r w:rsidRPr="00BE4777">
              <w:rPr>
                <w:rFonts w:ascii="Times New Roman" w:hAnsi="Times New Roman"/>
                <w:sz w:val="24"/>
                <w:szCs w:val="24"/>
              </w:rPr>
              <w:t>Лот №</w:t>
            </w:r>
            <w:r>
              <w:rPr>
                <w:rFonts w:ascii="Times New Roman" w:hAnsi="Times New Roman"/>
                <w:sz w:val="24"/>
                <w:szCs w:val="24"/>
              </w:rPr>
              <w:t>11</w:t>
            </w:r>
          </w:p>
        </w:tc>
        <w:tc>
          <w:tcPr>
            <w:tcW w:w="2835" w:type="dxa"/>
            <w:vAlign w:val="center"/>
          </w:tcPr>
          <w:p w:rsidR="00824926" w:rsidRPr="00863115" w:rsidRDefault="00824926">
            <w:pPr>
              <w:rPr>
                <w:rFonts w:ascii="Times New Roman" w:hAnsi="Times New Roman"/>
                <w:sz w:val="24"/>
                <w:szCs w:val="24"/>
                <w:lang w:val="en-US"/>
              </w:rPr>
            </w:pPr>
            <w:r w:rsidRPr="00863115">
              <w:rPr>
                <w:rFonts w:ascii="Times New Roman" w:hAnsi="Times New Roman"/>
                <w:sz w:val="24"/>
                <w:szCs w:val="24"/>
              </w:rPr>
              <w:t>Капилляры</w:t>
            </w:r>
            <w:r w:rsidRPr="00863115">
              <w:rPr>
                <w:rFonts w:ascii="Times New Roman" w:hAnsi="Times New Roman"/>
                <w:sz w:val="24"/>
                <w:szCs w:val="24"/>
                <w:lang w:val="en-US"/>
              </w:rPr>
              <w:t xml:space="preserve"> D957P-70-100x1  safe CLINITUBES 1 vial of 250 units, Multipack (</w:t>
            </w:r>
            <w:r w:rsidRPr="00863115">
              <w:rPr>
                <w:rFonts w:ascii="Times New Roman" w:hAnsi="Times New Roman"/>
                <w:sz w:val="24"/>
                <w:szCs w:val="24"/>
              </w:rPr>
              <w:t>пластик</w:t>
            </w:r>
            <w:r w:rsidRPr="00863115">
              <w:rPr>
                <w:rFonts w:ascii="Times New Roman" w:hAnsi="Times New Roman"/>
                <w:sz w:val="24"/>
                <w:szCs w:val="24"/>
                <w:lang w:val="en-US"/>
              </w:rPr>
              <w:t xml:space="preserve">) </w:t>
            </w:r>
          </w:p>
        </w:tc>
        <w:tc>
          <w:tcPr>
            <w:tcW w:w="3969" w:type="dxa"/>
            <w:vAlign w:val="bottom"/>
          </w:tcPr>
          <w:p w:rsidR="00824926" w:rsidRPr="00863115" w:rsidRDefault="00824926">
            <w:pPr>
              <w:rPr>
                <w:rFonts w:ascii="Times New Roman" w:hAnsi="Times New Roman"/>
                <w:color w:val="000000"/>
                <w:sz w:val="22"/>
                <w:szCs w:val="22"/>
              </w:rPr>
            </w:pPr>
            <w:proofErr w:type="spellStart"/>
            <w:r w:rsidRPr="00863115">
              <w:rPr>
                <w:rFonts w:ascii="Times New Roman" w:hAnsi="Times New Roman"/>
                <w:color w:val="000000"/>
                <w:sz w:val="22"/>
                <w:szCs w:val="22"/>
              </w:rPr>
              <w:t>Гепаринизированы</w:t>
            </w:r>
            <w:proofErr w:type="spellEnd"/>
            <w:r w:rsidRPr="00863115">
              <w:rPr>
                <w:rFonts w:ascii="Times New Roman" w:hAnsi="Times New Roman"/>
                <w:color w:val="000000"/>
                <w:sz w:val="22"/>
                <w:szCs w:val="22"/>
              </w:rPr>
              <w:t xml:space="preserve">. </w:t>
            </w:r>
            <w:proofErr w:type="gramStart"/>
            <w:r w:rsidRPr="00863115">
              <w:rPr>
                <w:rFonts w:ascii="Times New Roman" w:hAnsi="Times New Roman"/>
                <w:color w:val="000000"/>
                <w:sz w:val="22"/>
                <w:szCs w:val="22"/>
              </w:rPr>
              <w:t xml:space="preserve">Предназначены для проведения </w:t>
            </w:r>
            <w:proofErr w:type="spellStart"/>
            <w:r w:rsidRPr="00863115">
              <w:rPr>
                <w:rFonts w:ascii="Times New Roman" w:hAnsi="Times New Roman"/>
                <w:color w:val="000000"/>
                <w:sz w:val="22"/>
                <w:szCs w:val="22"/>
              </w:rPr>
              <w:t>тестовдетям</w:t>
            </w:r>
            <w:proofErr w:type="spellEnd"/>
            <w:r w:rsidRPr="00863115">
              <w:rPr>
                <w:rFonts w:ascii="Times New Roman" w:hAnsi="Times New Roman"/>
                <w:color w:val="000000"/>
                <w:sz w:val="22"/>
                <w:szCs w:val="22"/>
              </w:rPr>
              <w:t xml:space="preserve">  на анализаторе КЩС ABL80 СО-ОХ</w:t>
            </w:r>
            <w:proofErr w:type="gramEnd"/>
          </w:p>
        </w:tc>
        <w:tc>
          <w:tcPr>
            <w:tcW w:w="851" w:type="dxa"/>
          </w:tcPr>
          <w:p w:rsidR="00C134B8" w:rsidRDefault="00C134B8" w:rsidP="00BE4777">
            <w:pPr>
              <w:jc w:val="center"/>
              <w:rPr>
                <w:rFonts w:ascii="Times New Roman" w:hAnsi="Times New Roman"/>
                <w:sz w:val="24"/>
                <w:szCs w:val="24"/>
              </w:rPr>
            </w:pPr>
          </w:p>
          <w:p w:rsidR="00C134B8" w:rsidRDefault="00C134B8" w:rsidP="00BE4777">
            <w:pPr>
              <w:jc w:val="center"/>
              <w:rPr>
                <w:rFonts w:ascii="Times New Roman" w:hAnsi="Times New Roman"/>
                <w:sz w:val="24"/>
                <w:szCs w:val="24"/>
              </w:rPr>
            </w:pPr>
          </w:p>
          <w:p w:rsidR="00824926" w:rsidRPr="00F80191" w:rsidRDefault="00824926" w:rsidP="00BE4777">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850" w:type="dxa"/>
            <w:vAlign w:val="center"/>
          </w:tcPr>
          <w:p w:rsidR="00824926" w:rsidRPr="00863115" w:rsidRDefault="00824926">
            <w:pPr>
              <w:jc w:val="center"/>
              <w:rPr>
                <w:rFonts w:ascii="Times New Roman" w:hAnsi="Times New Roman"/>
                <w:sz w:val="22"/>
                <w:szCs w:val="22"/>
              </w:rPr>
            </w:pPr>
            <w:r w:rsidRPr="00863115">
              <w:rPr>
                <w:rFonts w:ascii="Times New Roman" w:hAnsi="Times New Roman"/>
                <w:sz w:val="22"/>
                <w:szCs w:val="22"/>
              </w:rPr>
              <w:t>6</w:t>
            </w:r>
          </w:p>
        </w:tc>
        <w:tc>
          <w:tcPr>
            <w:tcW w:w="1559" w:type="dxa"/>
            <w:vAlign w:val="bottom"/>
          </w:tcPr>
          <w:p w:rsidR="00824926" w:rsidRPr="00824926" w:rsidRDefault="00C134B8" w:rsidP="00824926">
            <w:pPr>
              <w:jc w:val="center"/>
              <w:rPr>
                <w:rFonts w:ascii="Times New Roman" w:hAnsi="Times New Roman"/>
                <w:sz w:val="22"/>
                <w:szCs w:val="22"/>
              </w:rPr>
            </w:pPr>
            <w:r>
              <w:rPr>
                <w:rFonts w:ascii="Times New Roman" w:hAnsi="Times New Roman"/>
                <w:sz w:val="22"/>
                <w:szCs w:val="22"/>
              </w:rPr>
              <w:t>684</w:t>
            </w:r>
            <w:r w:rsidR="00824926" w:rsidRPr="00824926">
              <w:rPr>
                <w:rFonts w:ascii="Times New Roman" w:hAnsi="Times New Roman"/>
                <w:sz w:val="22"/>
                <w:szCs w:val="22"/>
              </w:rPr>
              <w:t>000,00</w:t>
            </w:r>
          </w:p>
        </w:tc>
      </w:tr>
    </w:tbl>
    <w:p w:rsidR="00C134B8" w:rsidRDefault="00C134B8" w:rsidP="00C134B8">
      <w:pPr>
        <w:pStyle w:val="j15"/>
        <w:shd w:val="clear" w:color="auto" w:fill="FFFFFF"/>
        <w:spacing w:before="0" w:beforeAutospacing="0" w:after="0" w:afterAutospacing="0"/>
        <w:textAlignment w:val="baseline"/>
        <w:rPr>
          <w:sz w:val="18"/>
          <w:szCs w:val="18"/>
        </w:rPr>
      </w:pPr>
    </w:p>
    <w:p w:rsidR="00824926" w:rsidRDefault="00824926" w:rsidP="00C134B8">
      <w:pPr>
        <w:pStyle w:val="j15"/>
        <w:shd w:val="clear" w:color="auto" w:fill="FFFFFF"/>
        <w:spacing w:before="0" w:beforeAutospacing="0" w:after="0" w:afterAutospacing="0"/>
        <w:textAlignment w:val="baseline"/>
        <w:rPr>
          <w:sz w:val="18"/>
          <w:szCs w:val="1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Общая стоимость товаров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824926"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t xml:space="preserve">гарантийное </w:t>
      </w:r>
      <w:r w:rsidR="005A4AD3" w:rsidRPr="00364A3B">
        <w:rPr>
          <w:spacing w:val="2"/>
          <w:sz w:val="28"/>
          <w:szCs w:val="28"/>
        </w:rPr>
        <w:t>обеспечение исполнения Договора</w:t>
      </w:r>
      <w:bookmarkStart w:id="15" w:name="z491"/>
      <w:bookmarkEnd w:id="15"/>
      <w:r>
        <w:rPr>
          <w:spacing w:val="2"/>
          <w:sz w:val="28"/>
          <w:szCs w:val="28"/>
        </w:rPr>
        <w:t xml:space="preserve"> (</w:t>
      </w:r>
      <w:r w:rsidRPr="005017FD">
        <w:rPr>
          <w:color w:val="000000"/>
          <w:sz w:val="28"/>
          <w:szCs w:val="28"/>
        </w:rPr>
        <w:t>если</w:t>
      </w:r>
      <w:r>
        <w:rPr>
          <w:color w:val="000000"/>
          <w:sz w:val="28"/>
          <w:szCs w:val="28"/>
        </w:rPr>
        <w:t xml:space="preserve"> цена Д</w:t>
      </w:r>
      <w:r w:rsidRPr="005017FD">
        <w:rPr>
          <w:color w:val="000000"/>
          <w:sz w:val="28"/>
          <w:szCs w:val="28"/>
        </w:rPr>
        <w:t>о</w:t>
      </w:r>
      <w:r>
        <w:rPr>
          <w:color w:val="000000"/>
          <w:sz w:val="28"/>
          <w:szCs w:val="28"/>
        </w:rPr>
        <w:t xml:space="preserve">говора закупа </w:t>
      </w:r>
      <w:r w:rsidRPr="005017FD">
        <w:rPr>
          <w:color w:val="000000"/>
          <w:sz w:val="28"/>
          <w:szCs w:val="28"/>
        </w:rPr>
        <w:t xml:space="preserve"> превышает </w:t>
      </w:r>
      <w:proofErr w:type="spellStart"/>
      <w:r w:rsidRPr="005017FD">
        <w:rPr>
          <w:color w:val="000000"/>
          <w:sz w:val="28"/>
          <w:szCs w:val="28"/>
        </w:rPr>
        <w:t>двухтысячекратного</w:t>
      </w:r>
      <w:proofErr w:type="spellEnd"/>
      <w:r w:rsidRPr="005017FD">
        <w:rPr>
          <w:color w:val="000000"/>
          <w:sz w:val="28"/>
          <w:szCs w:val="28"/>
        </w:rPr>
        <w:t xml:space="preserve"> размера месячного расчетного</w:t>
      </w:r>
      <w:r>
        <w:rPr>
          <w:color w:val="000000"/>
          <w:sz w:val="28"/>
          <w:szCs w:val="28"/>
        </w:rPr>
        <w:t xml:space="preserve"> </w:t>
      </w:r>
      <w:r w:rsidRPr="005017FD">
        <w:rPr>
          <w:color w:val="000000"/>
          <w:sz w:val="28"/>
          <w:szCs w:val="28"/>
        </w:rPr>
        <w:t>показателя</w:t>
      </w:r>
      <w:r>
        <w:rPr>
          <w:color w:val="000000"/>
          <w:sz w:val="28"/>
          <w:szCs w:val="28"/>
        </w:rPr>
        <w:t>)</w:t>
      </w:r>
      <w:r w:rsidRPr="005017FD">
        <w:rPr>
          <w:sz w:val="28"/>
          <w:szCs w:val="28"/>
        </w:rPr>
        <w:br/>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lastRenderedPageBreak/>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xml:space="preserve">) в течение одного месяца, Заказчик может применить необходимые санкции и меры по исправлению дефектов за счет Поставщика и без какого-либо ущерба </w:t>
      </w:r>
      <w:r w:rsidRPr="00364A3B">
        <w:rPr>
          <w:spacing w:val="2"/>
          <w:sz w:val="28"/>
          <w:szCs w:val="28"/>
        </w:rPr>
        <w:lastRenderedPageBreak/>
        <w:t>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w:t>
      </w:r>
      <w:r w:rsidRPr="00364A3B">
        <w:rPr>
          <w:spacing w:val="2"/>
          <w:sz w:val="28"/>
          <w:szCs w:val="28"/>
        </w:rPr>
        <w:lastRenderedPageBreak/>
        <w:t>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863115">
          <w:headerReference w:type="default" r:id="rId9"/>
          <w:headerReference w:type="first" r:id="rId10"/>
          <w:pgSz w:w="11906" w:h="16838"/>
          <w:pgMar w:top="567" w:right="851" w:bottom="567" w:left="1418"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E9" w:rsidRDefault="00641FE9" w:rsidP="00A97CC2">
      <w:pPr>
        <w:spacing w:after="0" w:line="240" w:lineRule="auto"/>
      </w:pPr>
      <w:r>
        <w:separator/>
      </w:r>
    </w:p>
  </w:endnote>
  <w:endnote w:type="continuationSeparator" w:id="0">
    <w:p w:rsidR="00641FE9" w:rsidRDefault="00641FE9"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E9" w:rsidRDefault="00641FE9" w:rsidP="00A97CC2">
      <w:pPr>
        <w:spacing w:after="0" w:line="240" w:lineRule="auto"/>
      </w:pPr>
      <w:r>
        <w:separator/>
      </w:r>
    </w:p>
  </w:footnote>
  <w:footnote w:type="continuationSeparator" w:id="0">
    <w:p w:rsidR="00641FE9" w:rsidRDefault="00641FE9"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3801"/>
      <w:docPartObj>
        <w:docPartGallery w:val="Page Numbers (Top of Page)"/>
        <w:docPartUnique/>
      </w:docPartObj>
    </w:sdtPr>
    <w:sdtContent>
      <w:p w:rsidR="005A4AD3" w:rsidRDefault="00150811">
        <w:pPr>
          <w:pStyle w:val="ad"/>
          <w:jc w:val="center"/>
        </w:pPr>
        <w:fldSimple w:instr=" PAGE   \* MERGEFORMAT ">
          <w:r w:rsidR="00DB0C59">
            <w:rPr>
              <w:noProof/>
            </w:rPr>
            <w:t>5</w:t>
          </w:r>
        </w:fldSimple>
      </w:p>
    </w:sdtContent>
  </w:sdt>
  <w:p w:rsidR="005A4AD3" w:rsidRDefault="005A4AD3">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D3" w:rsidRDefault="005A4AD3">
    <w:pPr>
      <w:pStyle w:val="ad"/>
      <w:jc w:val="center"/>
    </w:pPr>
  </w:p>
  <w:p w:rsidR="005A4AD3" w:rsidRDefault="005A4AD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2261C"/>
    <w:rsid w:val="000344B6"/>
    <w:rsid w:val="0003495A"/>
    <w:rsid w:val="0003786C"/>
    <w:rsid w:val="000425CE"/>
    <w:rsid w:val="0004330F"/>
    <w:rsid w:val="00045647"/>
    <w:rsid w:val="00045CBD"/>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402"/>
    <w:rsid w:val="000C4DD3"/>
    <w:rsid w:val="000D2529"/>
    <w:rsid w:val="000D77CF"/>
    <w:rsid w:val="000E0FBD"/>
    <w:rsid w:val="000E6F9B"/>
    <w:rsid w:val="000E77FD"/>
    <w:rsid w:val="000F0F7A"/>
    <w:rsid w:val="000F17E3"/>
    <w:rsid w:val="000F6756"/>
    <w:rsid w:val="000F7B46"/>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811"/>
    <w:rsid w:val="00150CD0"/>
    <w:rsid w:val="00152DEC"/>
    <w:rsid w:val="001533F3"/>
    <w:rsid w:val="00154B65"/>
    <w:rsid w:val="001574D1"/>
    <w:rsid w:val="00157CE7"/>
    <w:rsid w:val="00163A59"/>
    <w:rsid w:val="00164AED"/>
    <w:rsid w:val="001662C1"/>
    <w:rsid w:val="0017022D"/>
    <w:rsid w:val="00170E59"/>
    <w:rsid w:val="00172ADD"/>
    <w:rsid w:val="0017482E"/>
    <w:rsid w:val="00175EC4"/>
    <w:rsid w:val="00176F0A"/>
    <w:rsid w:val="00181F50"/>
    <w:rsid w:val="00194A4D"/>
    <w:rsid w:val="00196D3D"/>
    <w:rsid w:val="00197453"/>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0786A"/>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21AF4"/>
    <w:rsid w:val="0052503D"/>
    <w:rsid w:val="00526719"/>
    <w:rsid w:val="00526C3C"/>
    <w:rsid w:val="00530FE2"/>
    <w:rsid w:val="0053575D"/>
    <w:rsid w:val="00540544"/>
    <w:rsid w:val="00540D27"/>
    <w:rsid w:val="00542FBD"/>
    <w:rsid w:val="0054328D"/>
    <w:rsid w:val="00547E35"/>
    <w:rsid w:val="00554072"/>
    <w:rsid w:val="00556698"/>
    <w:rsid w:val="005624F5"/>
    <w:rsid w:val="00562DC8"/>
    <w:rsid w:val="00565A0D"/>
    <w:rsid w:val="00571E1F"/>
    <w:rsid w:val="00577EB7"/>
    <w:rsid w:val="0058077B"/>
    <w:rsid w:val="005821F3"/>
    <w:rsid w:val="005826BD"/>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131B4"/>
    <w:rsid w:val="006164B8"/>
    <w:rsid w:val="006173DA"/>
    <w:rsid w:val="00622FE0"/>
    <w:rsid w:val="0062530F"/>
    <w:rsid w:val="0062704C"/>
    <w:rsid w:val="00635C81"/>
    <w:rsid w:val="00637FD3"/>
    <w:rsid w:val="00641FE9"/>
    <w:rsid w:val="00647FD4"/>
    <w:rsid w:val="006506B9"/>
    <w:rsid w:val="00650A33"/>
    <w:rsid w:val="006510F7"/>
    <w:rsid w:val="006547FF"/>
    <w:rsid w:val="00655399"/>
    <w:rsid w:val="0066114C"/>
    <w:rsid w:val="006637FB"/>
    <w:rsid w:val="0066573F"/>
    <w:rsid w:val="00667F51"/>
    <w:rsid w:val="006701C2"/>
    <w:rsid w:val="00670397"/>
    <w:rsid w:val="00672672"/>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4D87"/>
    <w:rsid w:val="006E54FE"/>
    <w:rsid w:val="006F1636"/>
    <w:rsid w:val="006F2E53"/>
    <w:rsid w:val="006F7FF8"/>
    <w:rsid w:val="00700B3C"/>
    <w:rsid w:val="007020B4"/>
    <w:rsid w:val="00704E9E"/>
    <w:rsid w:val="00740CF2"/>
    <w:rsid w:val="00753E98"/>
    <w:rsid w:val="007544A7"/>
    <w:rsid w:val="007565FC"/>
    <w:rsid w:val="007609FA"/>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31DC"/>
    <w:rsid w:val="00804483"/>
    <w:rsid w:val="008064C0"/>
    <w:rsid w:val="00807613"/>
    <w:rsid w:val="008076F3"/>
    <w:rsid w:val="008129E3"/>
    <w:rsid w:val="00812DB8"/>
    <w:rsid w:val="00813A45"/>
    <w:rsid w:val="0081652C"/>
    <w:rsid w:val="00824926"/>
    <w:rsid w:val="008254D4"/>
    <w:rsid w:val="0082742F"/>
    <w:rsid w:val="0083242D"/>
    <w:rsid w:val="00832761"/>
    <w:rsid w:val="00835034"/>
    <w:rsid w:val="008432E9"/>
    <w:rsid w:val="00843FF2"/>
    <w:rsid w:val="008452A6"/>
    <w:rsid w:val="00851894"/>
    <w:rsid w:val="0085237F"/>
    <w:rsid w:val="00854DB4"/>
    <w:rsid w:val="00857EC0"/>
    <w:rsid w:val="008607B8"/>
    <w:rsid w:val="00861303"/>
    <w:rsid w:val="00863115"/>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6E5"/>
    <w:rsid w:val="008B4603"/>
    <w:rsid w:val="008B7F9A"/>
    <w:rsid w:val="008C4870"/>
    <w:rsid w:val="008C6B25"/>
    <w:rsid w:val="008C72F7"/>
    <w:rsid w:val="008D11E2"/>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A62B3"/>
    <w:rsid w:val="009C1398"/>
    <w:rsid w:val="009C44A6"/>
    <w:rsid w:val="009C5709"/>
    <w:rsid w:val="009C6E59"/>
    <w:rsid w:val="009D0C40"/>
    <w:rsid w:val="009D50E2"/>
    <w:rsid w:val="009E21C8"/>
    <w:rsid w:val="009E3118"/>
    <w:rsid w:val="009E4839"/>
    <w:rsid w:val="009E5DF1"/>
    <w:rsid w:val="009F2D4F"/>
    <w:rsid w:val="009F3F4F"/>
    <w:rsid w:val="00A011F1"/>
    <w:rsid w:val="00A03AC1"/>
    <w:rsid w:val="00A05617"/>
    <w:rsid w:val="00A15994"/>
    <w:rsid w:val="00A21C98"/>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2A1F"/>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264"/>
    <w:rsid w:val="00B219F3"/>
    <w:rsid w:val="00B22B16"/>
    <w:rsid w:val="00B26FBD"/>
    <w:rsid w:val="00B30A7D"/>
    <w:rsid w:val="00B36A1A"/>
    <w:rsid w:val="00B41608"/>
    <w:rsid w:val="00B42B20"/>
    <w:rsid w:val="00B4436D"/>
    <w:rsid w:val="00B44E71"/>
    <w:rsid w:val="00B524B5"/>
    <w:rsid w:val="00B65EF6"/>
    <w:rsid w:val="00B83D79"/>
    <w:rsid w:val="00B842A4"/>
    <w:rsid w:val="00B9027C"/>
    <w:rsid w:val="00B90B98"/>
    <w:rsid w:val="00B924A7"/>
    <w:rsid w:val="00B93420"/>
    <w:rsid w:val="00B95D6A"/>
    <w:rsid w:val="00B96E62"/>
    <w:rsid w:val="00B9772E"/>
    <w:rsid w:val="00BA1029"/>
    <w:rsid w:val="00BA15DE"/>
    <w:rsid w:val="00BA1EBE"/>
    <w:rsid w:val="00BB3A59"/>
    <w:rsid w:val="00BB4FF1"/>
    <w:rsid w:val="00BC0972"/>
    <w:rsid w:val="00BC2FE8"/>
    <w:rsid w:val="00BC5917"/>
    <w:rsid w:val="00BD1049"/>
    <w:rsid w:val="00BD4C84"/>
    <w:rsid w:val="00BD7E0D"/>
    <w:rsid w:val="00BE4240"/>
    <w:rsid w:val="00BE4777"/>
    <w:rsid w:val="00BE6C75"/>
    <w:rsid w:val="00BE6DB3"/>
    <w:rsid w:val="00C03097"/>
    <w:rsid w:val="00C107EC"/>
    <w:rsid w:val="00C134B8"/>
    <w:rsid w:val="00C14024"/>
    <w:rsid w:val="00C14406"/>
    <w:rsid w:val="00C2385B"/>
    <w:rsid w:val="00C25C29"/>
    <w:rsid w:val="00C31693"/>
    <w:rsid w:val="00C3541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0C59"/>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51833"/>
    <w:rsid w:val="00E52387"/>
    <w:rsid w:val="00E52EA1"/>
    <w:rsid w:val="00E55702"/>
    <w:rsid w:val="00E56DC6"/>
    <w:rsid w:val="00E61BD7"/>
    <w:rsid w:val="00E664B3"/>
    <w:rsid w:val="00E67CEC"/>
    <w:rsid w:val="00E74E74"/>
    <w:rsid w:val="00E76B78"/>
    <w:rsid w:val="00E76DB8"/>
    <w:rsid w:val="00E809D2"/>
    <w:rsid w:val="00E80F07"/>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4D52"/>
    <w:rsid w:val="00F64E8B"/>
    <w:rsid w:val="00F64EC5"/>
    <w:rsid w:val="00F67FC9"/>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0DF2-CFDC-437B-8F3E-393002B1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3447</Words>
  <Characters>19649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33</cp:revision>
  <cp:lastPrinted>2017-02-16T11:38:00Z</cp:lastPrinted>
  <dcterms:created xsi:type="dcterms:W3CDTF">2017-02-01T12:10:00Z</dcterms:created>
  <dcterms:modified xsi:type="dcterms:W3CDTF">2017-03-24T11:59:00Z</dcterms:modified>
</cp:coreProperties>
</file>