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2C6AD8"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2C6AD8" w:rsidRPr="0085139E">
        <w:rPr>
          <w:rStyle w:val="s2"/>
          <w:bCs/>
          <w:color w:val="auto"/>
          <w:sz w:val="18"/>
          <w:szCs w:val="18"/>
          <w:u w:val="none"/>
        </w:rPr>
        <w:fldChar w:fldCharType="separate"/>
      </w:r>
      <w:r w:rsidRPr="0085139E">
        <w:rPr>
          <w:rStyle w:val="a9"/>
          <w:bCs/>
          <w:color w:val="auto"/>
          <w:sz w:val="18"/>
          <w:szCs w:val="18"/>
          <w:u w:val="none"/>
        </w:rPr>
        <w:t>приказу</w:t>
      </w:r>
      <w:r w:rsidR="002C6AD8"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w:t>
      </w:r>
      <w:r w:rsidR="00753CB1">
        <w:rPr>
          <w:spacing w:val="2"/>
          <w:sz w:val="28"/>
          <w:szCs w:val="28"/>
          <w:lang w:val="kk-KZ"/>
        </w:rPr>
        <w:t>дицинского назначения</w:t>
      </w:r>
      <w:r w:rsidR="00401156">
        <w:rPr>
          <w:spacing w:val="2"/>
          <w:sz w:val="28"/>
          <w:szCs w:val="28"/>
          <w:lang w:val="kk-KZ"/>
        </w:rPr>
        <w:t xml:space="preserve"> (в связи с поздними сроками поставки от ТОО «СК-Фармация»)</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753CB1">
        <w:rPr>
          <w:spacing w:val="2"/>
          <w:sz w:val="28"/>
          <w:szCs w:val="28"/>
          <w:lang w:val="kk-KZ"/>
        </w:rPr>
        <w:t>до 14</w:t>
      </w:r>
      <w:r w:rsidR="00403736">
        <w:rPr>
          <w:spacing w:val="2"/>
          <w:sz w:val="28"/>
          <w:szCs w:val="28"/>
          <w:lang w:val="kk-KZ"/>
        </w:rPr>
        <w:t>ч45м</w:t>
      </w:r>
      <w:r w:rsidR="001366BF">
        <w:rPr>
          <w:spacing w:val="2"/>
          <w:sz w:val="28"/>
          <w:szCs w:val="28"/>
          <w:lang w:val="kk-KZ"/>
        </w:rPr>
        <w:t>,</w:t>
      </w:r>
      <w:r w:rsidR="00753CB1">
        <w:rPr>
          <w:spacing w:val="2"/>
          <w:sz w:val="28"/>
          <w:szCs w:val="28"/>
          <w:lang w:val="kk-KZ"/>
        </w:rPr>
        <w:t xml:space="preserve"> 31</w:t>
      </w:r>
      <w:r w:rsidR="008B1150">
        <w:rPr>
          <w:spacing w:val="2"/>
          <w:sz w:val="28"/>
          <w:szCs w:val="28"/>
          <w:lang w:val="kk-KZ"/>
        </w:rPr>
        <w:t xml:space="preserve"> марта</w:t>
      </w:r>
      <w:r w:rsidR="001366BF">
        <w:rPr>
          <w:spacing w:val="2"/>
          <w:sz w:val="28"/>
          <w:szCs w:val="28"/>
          <w:lang w:val="kk-KZ"/>
        </w:rPr>
        <w:t xml:space="preserve"> 2017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6B0BF5">
        <w:rPr>
          <w:spacing w:val="2"/>
          <w:sz w:val="28"/>
          <w:szCs w:val="28"/>
          <w:lang w:val="kk-KZ"/>
        </w:rPr>
        <w:t>16</w:t>
      </w:r>
      <w:r w:rsidR="00403736">
        <w:rPr>
          <w:spacing w:val="2"/>
          <w:sz w:val="28"/>
          <w:szCs w:val="28"/>
          <w:lang w:val="kk-KZ"/>
        </w:rPr>
        <w:t>ч00м</w:t>
      </w:r>
      <w:r w:rsidR="001366BF">
        <w:rPr>
          <w:spacing w:val="2"/>
          <w:sz w:val="28"/>
          <w:szCs w:val="28"/>
          <w:lang w:val="kk-KZ"/>
        </w:rPr>
        <w:t xml:space="preserve">, </w:t>
      </w:r>
      <w:r w:rsidR="00753CB1">
        <w:rPr>
          <w:spacing w:val="2"/>
          <w:sz w:val="28"/>
          <w:szCs w:val="28"/>
          <w:lang w:val="kk-KZ"/>
        </w:rPr>
        <w:t>31</w:t>
      </w:r>
      <w:r w:rsidR="008B1150">
        <w:rPr>
          <w:spacing w:val="2"/>
          <w:sz w:val="28"/>
          <w:szCs w:val="28"/>
          <w:lang w:val="kk-KZ"/>
        </w:rPr>
        <w:t xml:space="preserve"> марта</w:t>
      </w:r>
      <w:r w:rsidR="001366BF">
        <w:rPr>
          <w:spacing w:val="2"/>
          <w:sz w:val="28"/>
          <w:szCs w:val="28"/>
          <w:lang w:val="kk-KZ"/>
        </w:rPr>
        <w:t xml:space="preserve"> 2017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получить по телефону 8(7187) 347981.</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 xml:space="preserve">диагностических, дезинфицирующих) </w:t>
      </w:r>
      <w:r w:rsidRPr="005017FD">
        <w:rPr>
          <w:sz w:val="28"/>
          <w:szCs w:val="28"/>
        </w:rPr>
        <w:lastRenderedPageBreak/>
        <w:t>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Pr>
          <w:sz w:val="28"/>
          <w:szCs w:val="28"/>
        </w:rPr>
        <w:t xml:space="preserve"> </w:t>
      </w:r>
      <w:r>
        <w:rPr>
          <w:b/>
          <w:bCs/>
          <w:sz w:val="25"/>
          <w:szCs w:val="25"/>
        </w:rPr>
        <w:t>(с изменениями и дополнениями по состоянию на 29.12.2016 г. вводятся в действие с 10.01.2017 года)</w:t>
      </w:r>
      <w:proofErr w:type="gramEnd"/>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417" w:type="dxa"/>
        <w:tblLayout w:type="fixed"/>
        <w:tblLook w:val="04A0"/>
      </w:tblPr>
      <w:tblGrid>
        <w:gridCol w:w="959"/>
        <w:gridCol w:w="4678"/>
        <w:gridCol w:w="6095"/>
        <w:gridCol w:w="1134"/>
        <w:gridCol w:w="992"/>
        <w:gridCol w:w="1559"/>
      </w:tblGrid>
      <w:tr w:rsidR="008B1150" w:rsidTr="00B6659E">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678"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6095" w:type="dxa"/>
          </w:tcPr>
          <w:p w:rsidR="008B1150" w:rsidRPr="00905ADC" w:rsidRDefault="008B1150" w:rsidP="00905ADC">
            <w:pPr>
              <w:pStyle w:val="j15"/>
              <w:spacing w:before="0" w:beforeAutospacing="0" w:after="0" w:afterAutospacing="0"/>
              <w:jc w:val="center"/>
              <w:textAlignment w:val="baseline"/>
              <w:rPr>
                <w:b/>
                <w:sz w:val="20"/>
                <w:szCs w:val="20"/>
              </w:rPr>
            </w:pPr>
            <w:r>
              <w:rPr>
                <w:b/>
                <w:sz w:val="20"/>
                <w:szCs w:val="20"/>
              </w:rPr>
              <w:t>Характеристика</w:t>
            </w:r>
          </w:p>
        </w:tc>
        <w:tc>
          <w:tcPr>
            <w:tcW w:w="1134"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753CB1" w:rsidRPr="00BE4777" w:rsidTr="00833BAB">
        <w:tc>
          <w:tcPr>
            <w:tcW w:w="959" w:type="dxa"/>
          </w:tcPr>
          <w:p w:rsidR="00753CB1" w:rsidRPr="008B1150" w:rsidRDefault="00753CB1" w:rsidP="00140D85">
            <w:pPr>
              <w:pStyle w:val="j15"/>
              <w:spacing w:before="0" w:beforeAutospacing="0" w:after="0" w:afterAutospacing="0"/>
              <w:textAlignment w:val="baseline"/>
              <w:rPr>
                <w:sz w:val="20"/>
                <w:szCs w:val="20"/>
              </w:rPr>
            </w:pPr>
            <w:r w:rsidRPr="008B1150">
              <w:rPr>
                <w:sz w:val="20"/>
                <w:szCs w:val="20"/>
              </w:rPr>
              <w:t>Лот №1</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Катетер </w:t>
            </w:r>
            <w:proofErr w:type="spellStart"/>
            <w:r w:rsidRPr="00753CB1">
              <w:rPr>
                <w:rFonts w:ascii="Times New Roman" w:hAnsi="Times New Roman"/>
                <w:color w:val="000000"/>
                <w:sz w:val="22"/>
                <w:szCs w:val="22"/>
              </w:rPr>
              <w:t>Нелатона</w:t>
            </w:r>
            <w:proofErr w:type="spellEnd"/>
            <w:r w:rsidRPr="00753CB1">
              <w:rPr>
                <w:rFonts w:ascii="Times New Roman" w:hAnsi="Times New Roman"/>
                <w:color w:val="000000"/>
                <w:sz w:val="22"/>
                <w:szCs w:val="22"/>
              </w:rPr>
              <w:t xml:space="preserve">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10, длиной 40,0 см, диаметр 3,3 мм</w:t>
            </w:r>
          </w:p>
        </w:tc>
        <w:tc>
          <w:tcPr>
            <w:tcW w:w="1134" w:type="dxa"/>
            <w:vAlign w:val="center"/>
          </w:tcPr>
          <w:p w:rsidR="00753CB1" w:rsidRPr="008B1150" w:rsidRDefault="00753CB1" w:rsidP="007636BF">
            <w:pPr>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500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41380,00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№2</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Катетер </w:t>
            </w:r>
            <w:proofErr w:type="spellStart"/>
            <w:r w:rsidRPr="00753CB1">
              <w:rPr>
                <w:rFonts w:ascii="Times New Roman" w:hAnsi="Times New Roman"/>
                <w:color w:val="000000"/>
                <w:sz w:val="22"/>
                <w:szCs w:val="22"/>
              </w:rPr>
              <w:t>Нелатона</w:t>
            </w:r>
            <w:proofErr w:type="spellEnd"/>
            <w:r w:rsidRPr="00753CB1">
              <w:rPr>
                <w:rFonts w:ascii="Times New Roman" w:hAnsi="Times New Roman"/>
                <w:color w:val="000000"/>
                <w:sz w:val="22"/>
                <w:szCs w:val="22"/>
              </w:rPr>
              <w:t xml:space="preserve">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12,  длиной 40,0 см, диаметр 4,0 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600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49656,00</w:t>
            </w:r>
          </w:p>
        </w:tc>
      </w:tr>
      <w:tr w:rsidR="006B0BF5" w:rsidRPr="00BE4777" w:rsidTr="00F9548D">
        <w:tc>
          <w:tcPr>
            <w:tcW w:w="959" w:type="dxa"/>
          </w:tcPr>
          <w:p w:rsidR="006B0BF5" w:rsidRPr="008B1150" w:rsidRDefault="006B0BF5" w:rsidP="007636BF">
            <w:pPr>
              <w:rPr>
                <w:rFonts w:ascii="Times New Roman" w:hAnsi="Times New Roman"/>
              </w:rPr>
            </w:pPr>
            <w:r w:rsidRPr="008B1150">
              <w:rPr>
                <w:rFonts w:ascii="Times New Roman" w:hAnsi="Times New Roman"/>
              </w:rPr>
              <w:t>Лот №3</w:t>
            </w:r>
          </w:p>
        </w:tc>
        <w:tc>
          <w:tcPr>
            <w:tcW w:w="4678" w:type="dxa"/>
            <w:vAlign w:val="center"/>
          </w:tcPr>
          <w:p w:rsidR="006B0BF5" w:rsidRPr="00753CB1" w:rsidRDefault="006B0BF5">
            <w:pPr>
              <w:rPr>
                <w:rFonts w:ascii="Times New Roman" w:hAnsi="Times New Roman"/>
                <w:color w:val="000000"/>
                <w:sz w:val="22"/>
                <w:szCs w:val="22"/>
              </w:rPr>
            </w:pPr>
            <w:r w:rsidRPr="00753CB1">
              <w:rPr>
                <w:rFonts w:ascii="Times New Roman" w:hAnsi="Times New Roman"/>
                <w:color w:val="000000"/>
                <w:sz w:val="22"/>
                <w:szCs w:val="22"/>
              </w:rPr>
              <w:t xml:space="preserve">Катетер </w:t>
            </w:r>
            <w:proofErr w:type="spellStart"/>
            <w:r w:rsidRPr="00753CB1">
              <w:rPr>
                <w:rFonts w:ascii="Times New Roman" w:hAnsi="Times New Roman"/>
                <w:color w:val="000000"/>
                <w:sz w:val="22"/>
                <w:szCs w:val="22"/>
              </w:rPr>
              <w:t>Нелатона</w:t>
            </w:r>
            <w:proofErr w:type="spellEnd"/>
            <w:r w:rsidRPr="00753CB1">
              <w:rPr>
                <w:rFonts w:ascii="Times New Roman" w:hAnsi="Times New Roman"/>
                <w:color w:val="000000"/>
                <w:sz w:val="22"/>
                <w:szCs w:val="22"/>
              </w:rPr>
              <w:t xml:space="preserve"> однократного применения, стерильный</w:t>
            </w:r>
          </w:p>
        </w:tc>
        <w:tc>
          <w:tcPr>
            <w:tcW w:w="6095" w:type="dxa"/>
            <w:vAlign w:val="center"/>
          </w:tcPr>
          <w:p w:rsidR="006B0BF5" w:rsidRPr="00753CB1" w:rsidRDefault="006B0BF5">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14,  длиной 40,0 см, диаметр 4,7 мм</w:t>
            </w:r>
          </w:p>
        </w:tc>
        <w:tc>
          <w:tcPr>
            <w:tcW w:w="1134" w:type="dxa"/>
          </w:tcPr>
          <w:p w:rsidR="006B0BF5" w:rsidRDefault="006B0BF5"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6B0BF5" w:rsidRPr="008B1150" w:rsidRDefault="006B0BF5" w:rsidP="002B78D8">
            <w:pPr>
              <w:jc w:val="center"/>
              <w:rPr>
                <w:rFonts w:ascii="Times New Roman" w:hAnsi="Times New Roman"/>
              </w:rPr>
            </w:pPr>
            <w:r>
              <w:rPr>
                <w:rFonts w:ascii="Times New Roman" w:hAnsi="Times New Roman"/>
              </w:rPr>
              <w:t>600</w:t>
            </w:r>
          </w:p>
        </w:tc>
        <w:tc>
          <w:tcPr>
            <w:tcW w:w="1559" w:type="dxa"/>
            <w:vAlign w:val="center"/>
          </w:tcPr>
          <w:p w:rsidR="006B0BF5" w:rsidRPr="008B1150" w:rsidRDefault="006B0BF5" w:rsidP="002B78D8">
            <w:pPr>
              <w:jc w:val="center"/>
              <w:rPr>
                <w:rFonts w:ascii="Times New Roman" w:hAnsi="Times New Roman"/>
                <w:bCs/>
                <w:color w:val="000000"/>
              </w:rPr>
            </w:pPr>
            <w:r>
              <w:rPr>
                <w:rFonts w:ascii="Times New Roman" w:hAnsi="Times New Roman"/>
                <w:bCs/>
                <w:color w:val="000000"/>
              </w:rPr>
              <w:t>49656,00</w:t>
            </w:r>
          </w:p>
        </w:tc>
      </w:tr>
      <w:tr w:rsidR="006B0BF5" w:rsidRPr="00BE4777" w:rsidTr="00F9548D">
        <w:tc>
          <w:tcPr>
            <w:tcW w:w="959" w:type="dxa"/>
          </w:tcPr>
          <w:p w:rsidR="006B0BF5" w:rsidRPr="008B1150" w:rsidRDefault="006B0BF5" w:rsidP="007636BF">
            <w:pPr>
              <w:rPr>
                <w:rFonts w:ascii="Times New Roman" w:hAnsi="Times New Roman"/>
              </w:rPr>
            </w:pPr>
            <w:r w:rsidRPr="008B1150">
              <w:rPr>
                <w:rFonts w:ascii="Times New Roman" w:hAnsi="Times New Roman"/>
              </w:rPr>
              <w:t>Лот №4</w:t>
            </w:r>
          </w:p>
        </w:tc>
        <w:tc>
          <w:tcPr>
            <w:tcW w:w="4678" w:type="dxa"/>
            <w:vAlign w:val="center"/>
          </w:tcPr>
          <w:p w:rsidR="006B0BF5" w:rsidRPr="00753CB1" w:rsidRDefault="006B0BF5">
            <w:pPr>
              <w:rPr>
                <w:rFonts w:ascii="Times New Roman" w:hAnsi="Times New Roman"/>
                <w:color w:val="000000"/>
                <w:sz w:val="22"/>
                <w:szCs w:val="22"/>
              </w:rPr>
            </w:pPr>
            <w:r w:rsidRPr="00753CB1">
              <w:rPr>
                <w:rFonts w:ascii="Times New Roman" w:hAnsi="Times New Roman"/>
                <w:color w:val="000000"/>
                <w:sz w:val="22"/>
                <w:szCs w:val="22"/>
              </w:rPr>
              <w:t xml:space="preserve">Катетер </w:t>
            </w:r>
            <w:proofErr w:type="spellStart"/>
            <w:r w:rsidRPr="00753CB1">
              <w:rPr>
                <w:rFonts w:ascii="Times New Roman" w:hAnsi="Times New Roman"/>
                <w:color w:val="000000"/>
                <w:sz w:val="22"/>
                <w:szCs w:val="22"/>
              </w:rPr>
              <w:t>Нелатона</w:t>
            </w:r>
            <w:proofErr w:type="spellEnd"/>
            <w:r w:rsidRPr="00753CB1">
              <w:rPr>
                <w:rFonts w:ascii="Times New Roman" w:hAnsi="Times New Roman"/>
                <w:color w:val="000000"/>
                <w:sz w:val="22"/>
                <w:szCs w:val="22"/>
              </w:rPr>
              <w:t xml:space="preserve"> однократного применения, стерильный</w:t>
            </w:r>
          </w:p>
        </w:tc>
        <w:tc>
          <w:tcPr>
            <w:tcW w:w="6095" w:type="dxa"/>
            <w:vAlign w:val="center"/>
          </w:tcPr>
          <w:p w:rsidR="006B0BF5" w:rsidRPr="00753CB1" w:rsidRDefault="006B0BF5">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16,  длиной 40,0 см, диаметр 5,3 мм</w:t>
            </w:r>
          </w:p>
        </w:tc>
        <w:tc>
          <w:tcPr>
            <w:tcW w:w="1134" w:type="dxa"/>
          </w:tcPr>
          <w:p w:rsidR="006B0BF5" w:rsidRDefault="006B0BF5"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6B0BF5" w:rsidRPr="008B1150" w:rsidRDefault="006B0BF5" w:rsidP="002B78D8">
            <w:pPr>
              <w:jc w:val="center"/>
              <w:rPr>
                <w:rFonts w:ascii="Times New Roman" w:hAnsi="Times New Roman"/>
              </w:rPr>
            </w:pPr>
            <w:r>
              <w:rPr>
                <w:rFonts w:ascii="Times New Roman" w:hAnsi="Times New Roman"/>
              </w:rPr>
              <w:t>600</w:t>
            </w:r>
          </w:p>
        </w:tc>
        <w:tc>
          <w:tcPr>
            <w:tcW w:w="1559" w:type="dxa"/>
            <w:vAlign w:val="center"/>
          </w:tcPr>
          <w:p w:rsidR="006B0BF5" w:rsidRPr="008B1150" w:rsidRDefault="006B0BF5" w:rsidP="002B78D8">
            <w:pPr>
              <w:jc w:val="center"/>
              <w:rPr>
                <w:rFonts w:ascii="Times New Roman" w:hAnsi="Times New Roman"/>
                <w:bCs/>
                <w:color w:val="000000"/>
              </w:rPr>
            </w:pPr>
            <w:r>
              <w:rPr>
                <w:rFonts w:ascii="Times New Roman" w:hAnsi="Times New Roman"/>
                <w:bCs/>
                <w:color w:val="000000"/>
              </w:rPr>
              <w:t>49656,00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№5</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Катетер </w:t>
            </w:r>
            <w:proofErr w:type="spellStart"/>
            <w:r w:rsidRPr="00753CB1">
              <w:rPr>
                <w:rFonts w:ascii="Times New Roman" w:hAnsi="Times New Roman"/>
                <w:color w:val="000000"/>
                <w:sz w:val="22"/>
                <w:szCs w:val="22"/>
              </w:rPr>
              <w:t>Нелатона</w:t>
            </w:r>
            <w:proofErr w:type="spellEnd"/>
            <w:r w:rsidRPr="00753CB1">
              <w:rPr>
                <w:rFonts w:ascii="Times New Roman" w:hAnsi="Times New Roman"/>
                <w:color w:val="000000"/>
                <w:sz w:val="22"/>
                <w:szCs w:val="22"/>
              </w:rPr>
              <w:t xml:space="preserve">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6,  длиной 40,0 см, диаметр 2,0 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100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8276,00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№6</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Катетер </w:t>
            </w:r>
            <w:proofErr w:type="spellStart"/>
            <w:r w:rsidRPr="00753CB1">
              <w:rPr>
                <w:rFonts w:ascii="Times New Roman" w:hAnsi="Times New Roman"/>
                <w:color w:val="000000"/>
                <w:sz w:val="22"/>
                <w:szCs w:val="22"/>
              </w:rPr>
              <w:t>Нелатона</w:t>
            </w:r>
            <w:proofErr w:type="spellEnd"/>
            <w:r w:rsidRPr="00753CB1">
              <w:rPr>
                <w:rFonts w:ascii="Times New Roman" w:hAnsi="Times New Roman"/>
                <w:color w:val="000000"/>
                <w:sz w:val="22"/>
                <w:szCs w:val="22"/>
              </w:rPr>
              <w:t xml:space="preserve">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8,  длиной 40,0 см, диаметр 2,7 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100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8276,00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№7</w:t>
            </w:r>
          </w:p>
        </w:tc>
        <w:tc>
          <w:tcPr>
            <w:tcW w:w="4678" w:type="dxa"/>
            <w:vAlign w:val="center"/>
          </w:tcPr>
          <w:p w:rsidR="00753CB1" w:rsidRPr="00753CB1" w:rsidRDefault="00753CB1">
            <w:pPr>
              <w:rPr>
                <w:rFonts w:ascii="Times New Roman" w:hAnsi="Times New Roman"/>
                <w:color w:val="000000"/>
                <w:sz w:val="22"/>
                <w:szCs w:val="22"/>
              </w:rPr>
            </w:pPr>
            <w:proofErr w:type="gramStart"/>
            <w:r w:rsidRPr="00753CB1">
              <w:rPr>
                <w:rFonts w:ascii="Times New Roman" w:hAnsi="Times New Roman"/>
                <w:color w:val="000000"/>
                <w:sz w:val="22"/>
                <w:szCs w:val="22"/>
              </w:rPr>
              <w:t>Катетер</w:t>
            </w:r>
            <w:proofErr w:type="gramEnd"/>
            <w:r w:rsidRPr="00753CB1">
              <w:rPr>
                <w:rFonts w:ascii="Times New Roman" w:hAnsi="Times New Roman"/>
                <w:color w:val="000000"/>
                <w:sz w:val="22"/>
                <w:szCs w:val="22"/>
              </w:rPr>
              <w:t xml:space="preserve"> отсасывающий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12, длиной 52,0 см, диаметр 4,0 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400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46736,00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№8</w:t>
            </w:r>
          </w:p>
        </w:tc>
        <w:tc>
          <w:tcPr>
            <w:tcW w:w="4678" w:type="dxa"/>
            <w:vAlign w:val="center"/>
          </w:tcPr>
          <w:p w:rsidR="00753CB1" w:rsidRPr="00753CB1" w:rsidRDefault="00753CB1">
            <w:pPr>
              <w:rPr>
                <w:rFonts w:ascii="Times New Roman" w:hAnsi="Times New Roman"/>
                <w:color w:val="000000"/>
                <w:sz w:val="22"/>
                <w:szCs w:val="22"/>
              </w:rPr>
            </w:pPr>
            <w:proofErr w:type="gramStart"/>
            <w:r w:rsidRPr="00753CB1">
              <w:rPr>
                <w:rFonts w:ascii="Times New Roman" w:hAnsi="Times New Roman"/>
                <w:color w:val="000000"/>
                <w:sz w:val="22"/>
                <w:szCs w:val="22"/>
              </w:rPr>
              <w:t>Катетер</w:t>
            </w:r>
            <w:proofErr w:type="gramEnd"/>
            <w:r w:rsidRPr="00753CB1">
              <w:rPr>
                <w:rFonts w:ascii="Times New Roman" w:hAnsi="Times New Roman"/>
                <w:color w:val="000000"/>
                <w:sz w:val="22"/>
                <w:szCs w:val="22"/>
              </w:rPr>
              <w:t xml:space="preserve"> отсасывающий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10,  длиной 52,0 см, диаметр 3,3 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400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46736,00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№9</w:t>
            </w:r>
          </w:p>
        </w:tc>
        <w:tc>
          <w:tcPr>
            <w:tcW w:w="4678" w:type="dxa"/>
            <w:vAlign w:val="center"/>
          </w:tcPr>
          <w:p w:rsidR="00753CB1" w:rsidRPr="00753CB1" w:rsidRDefault="00753CB1">
            <w:pPr>
              <w:rPr>
                <w:rFonts w:ascii="Times New Roman" w:hAnsi="Times New Roman"/>
                <w:color w:val="000000"/>
                <w:sz w:val="22"/>
                <w:szCs w:val="22"/>
              </w:rPr>
            </w:pPr>
            <w:proofErr w:type="gramStart"/>
            <w:r w:rsidRPr="00753CB1">
              <w:rPr>
                <w:rFonts w:ascii="Times New Roman" w:hAnsi="Times New Roman"/>
                <w:color w:val="000000"/>
                <w:sz w:val="22"/>
                <w:szCs w:val="22"/>
              </w:rPr>
              <w:t>Катетер</w:t>
            </w:r>
            <w:proofErr w:type="gramEnd"/>
            <w:r w:rsidRPr="00753CB1">
              <w:rPr>
                <w:rFonts w:ascii="Times New Roman" w:hAnsi="Times New Roman"/>
                <w:color w:val="000000"/>
                <w:sz w:val="22"/>
                <w:szCs w:val="22"/>
              </w:rPr>
              <w:t xml:space="preserve"> отсасывающий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14,  длиной 52,0 см, диаметр 4,7 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400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46736,00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№10</w:t>
            </w:r>
          </w:p>
        </w:tc>
        <w:tc>
          <w:tcPr>
            <w:tcW w:w="4678" w:type="dxa"/>
            <w:vAlign w:val="center"/>
          </w:tcPr>
          <w:p w:rsidR="00753CB1" w:rsidRPr="00753CB1" w:rsidRDefault="00753CB1">
            <w:pPr>
              <w:rPr>
                <w:rFonts w:ascii="Times New Roman" w:hAnsi="Times New Roman"/>
                <w:color w:val="000000"/>
                <w:sz w:val="22"/>
                <w:szCs w:val="22"/>
              </w:rPr>
            </w:pPr>
            <w:proofErr w:type="gramStart"/>
            <w:r w:rsidRPr="00753CB1">
              <w:rPr>
                <w:rFonts w:ascii="Times New Roman" w:hAnsi="Times New Roman"/>
                <w:color w:val="000000"/>
                <w:sz w:val="22"/>
                <w:szCs w:val="22"/>
              </w:rPr>
              <w:t>Катетер</w:t>
            </w:r>
            <w:proofErr w:type="gramEnd"/>
            <w:r w:rsidRPr="00753CB1">
              <w:rPr>
                <w:rFonts w:ascii="Times New Roman" w:hAnsi="Times New Roman"/>
                <w:color w:val="000000"/>
                <w:sz w:val="22"/>
                <w:szCs w:val="22"/>
              </w:rPr>
              <w:t xml:space="preserve"> отсасывающий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6,  длиной 52,0 см, диаметр 2,0 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50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5842,00</w:t>
            </w:r>
          </w:p>
        </w:tc>
      </w:tr>
      <w:tr w:rsidR="00753CB1" w:rsidRPr="00BE4777"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№11</w:t>
            </w:r>
          </w:p>
        </w:tc>
        <w:tc>
          <w:tcPr>
            <w:tcW w:w="4678" w:type="dxa"/>
            <w:vAlign w:val="center"/>
          </w:tcPr>
          <w:p w:rsidR="00753CB1" w:rsidRPr="00753CB1" w:rsidRDefault="00753CB1">
            <w:pPr>
              <w:rPr>
                <w:rFonts w:ascii="Times New Roman" w:hAnsi="Times New Roman"/>
                <w:color w:val="000000"/>
                <w:sz w:val="22"/>
                <w:szCs w:val="22"/>
              </w:rPr>
            </w:pPr>
            <w:proofErr w:type="gramStart"/>
            <w:r w:rsidRPr="00753CB1">
              <w:rPr>
                <w:rFonts w:ascii="Times New Roman" w:hAnsi="Times New Roman"/>
                <w:color w:val="000000"/>
                <w:sz w:val="22"/>
                <w:szCs w:val="22"/>
              </w:rPr>
              <w:t>Катетер</w:t>
            </w:r>
            <w:proofErr w:type="gramEnd"/>
            <w:r w:rsidRPr="00753CB1">
              <w:rPr>
                <w:rFonts w:ascii="Times New Roman" w:hAnsi="Times New Roman"/>
                <w:color w:val="000000"/>
                <w:sz w:val="22"/>
                <w:szCs w:val="22"/>
              </w:rPr>
              <w:t xml:space="preserve"> отсасывающий однократного применения, стерильный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 размер СН 8, длиной 52,0 см диаметр 2,7мм.</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50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5842,00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№12</w:t>
            </w:r>
          </w:p>
        </w:tc>
        <w:tc>
          <w:tcPr>
            <w:tcW w:w="4678" w:type="dxa"/>
            <w:vAlign w:val="center"/>
          </w:tcPr>
          <w:p w:rsidR="00753CB1" w:rsidRPr="00753CB1" w:rsidRDefault="00753CB1" w:rsidP="002B78D8">
            <w:pPr>
              <w:rPr>
                <w:rFonts w:ascii="Times New Roman" w:hAnsi="Times New Roman"/>
                <w:color w:val="000000"/>
                <w:sz w:val="22"/>
                <w:szCs w:val="22"/>
              </w:rPr>
            </w:pPr>
            <w:proofErr w:type="gramStart"/>
            <w:r w:rsidRPr="00753CB1">
              <w:rPr>
                <w:rFonts w:ascii="Times New Roman" w:hAnsi="Times New Roman"/>
                <w:color w:val="000000"/>
                <w:sz w:val="22"/>
                <w:szCs w:val="22"/>
              </w:rPr>
              <w:t>Катетер</w:t>
            </w:r>
            <w:proofErr w:type="gramEnd"/>
            <w:r w:rsidRPr="00753CB1">
              <w:rPr>
                <w:rFonts w:ascii="Times New Roman" w:hAnsi="Times New Roman"/>
                <w:color w:val="000000"/>
                <w:sz w:val="22"/>
                <w:szCs w:val="22"/>
              </w:rPr>
              <w:t xml:space="preserve"> отсасывающий однократного применения, стерильный</w:t>
            </w:r>
          </w:p>
        </w:tc>
        <w:tc>
          <w:tcPr>
            <w:tcW w:w="6095" w:type="dxa"/>
            <w:vAlign w:val="center"/>
          </w:tcPr>
          <w:p w:rsidR="00753CB1" w:rsidRPr="00753CB1" w:rsidRDefault="00753CB1" w:rsidP="002B78D8">
            <w:pPr>
              <w:rPr>
                <w:rFonts w:ascii="Times New Roman" w:hAnsi="Times New Roman"/>
                <w:color w:val="000000"/>
                <w:sz w:val="22"/>
                <w:szCs w:val="22"/>
              </w:rPr>
            </w:pPr>
            <w:r w:rsidRPr="00753CB1">
              <w:rPr>
                <w:rFonts w:ascii="Times New Roman" w:hAnsi="Times New Roman"/>
                <w:color w:val="000000"/>
                <w:sz w:val="22"/>
                <w:szCs w:val="22"/>
              </w:rPr>
              <w:t>однократного прим</w:t>
            </w:r>
            <w:r>
              <w:rPr>
                <w:rFonts w:ascii="Times New Roman" w:hAnsi="Times New Roman"/>
                <w:color w:val="000000"/>
                <w:sz w:val="22"/>
                <w:szCs w:val="22"/>
              </w:rPr>
              <w:t>енения, стерильный, размер СН 16, длиной 52,0 см, диаметр 4,7</w:t>
            </w:r>
            <w:r w:rsidRPr="00753CB1">
              <w:rPr>
                <w:rFonts w:ascii="Times New Roman" w:hAnsi="Times New Roman"/>
                <w:color w:val="000000"/>
                <w:sz w:val="22"/>
                <w:szCs w:val="22"/>
              </w:rPr>
              <w:t xml:space="preserve"> мм.</w:t>
            </w:r>
          </w:p>
        </w:tc>
        <w:tc>
          <w:tcPr>
            <w:tcW w:w="1134" w:type="dxa"/>
          </w:tcPr>
          <w:p w:rsidR="00753CB1" w:rsidRPr="00603F6B" w:rsidRDefault="00753CB1" w:rsidP="00753CB1">
            <w:pPr>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300</w:t>
            </w:r>
          </w:p>
        </w:tc>
        <w:tc>
          <w:tcPr>
            <w:tcW w:w="1559" w:type="dxa"/>
            <w:vAlign w:val="center"/>
          </w:tcPr>
          <w:p w:rsidR="00753CB1" w:rsidRDefault="006B0BF5">
            <w:pPr>
              <w:jc w:val="center"/>
              <w:rPr>
                <w:rFonts w:ascii="Times New Roman" w:hAnsi="Times New Roman"/>
                <w:bCs/>
                <w:color w:val="000000"/>
              </w:rPr>
            </w:pPr>
            <w:r>
              <w:rPr>
                <w:rFonts w:ascii="Times New Roman" w:hAnsi="Times New Roman"/>
                <w:bCs/>
                <w:color w:val="000000"/>
              </w:rPr>
              <w:t>35052,00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№13</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Катетер подключичный стерильный, </w:t>
            </w:r>
            <w:proofErr w:type="spellStart"/>
            <w:r w:rsidRPr="00753CB1">
              <w:rPr>
                <w:rFonts w:ascii="Times New Roman" w:hAnsi="Times New Roman"/>
                <w:color w:val="000000"/>
                <w:sz w:val="22"/>
                <w:szCs w:val="22"/>
              </w:rPr>
              <w:t>апирогенный</w:t>
            </w:r>
            <w:proofErr w:type="spellEnd"/>
            <w:r w:rsidRPr="00753CB1">
              <w:rPr>
                <w:rFonts w:ascii="Times New Roman" w:hAnsi="Times New Roman"/>
                <w:color w:val="000000"/>
                <w:sz w:val="22"/>
                <w:szCs w:val="22"/>
              </w:rPr>
              <w:t>, нетоксичный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диаметр 1,4 мм, однократного применения</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500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39415,00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№14</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Загубник для </w:t>
            </w:r>
            <w:proofErr w:type="spellStart"/>
            <w:r w:rsidRPr="00753CB1">
              <w:rPr>
                <w:rFonts w:ascii="Times New Roman" w:hAnsi="Times New Roman"/>
                <w:color w:val="000000"/>
                <w:sz w:val="22"/>
                <w:szCs w:val="22"/>
              </w:rPr>
              <w:t>фиброэндоскопии</w:t>
            </w:r>
            <w:proofErr w:type="spellEnd"/>
            <w:r w:rsidRPr="00753CB1">
              <w:rPr>
                <w:rFonts w:ascii="Times New Roman" w:hAnsi="Times New Roman"/>
                <w:color w:val="000000"/>
                <w:sz w:val="22"/>
                <w:szCs w:val="22"/>
              </w:rPr>
              <w:t xml:space="preserve"> однократного применения стерильный, </w:t>
            </w:r>
            <w:proofErr w:type="spellStart"/>
            <w:r w:rsidRPr="00753CB1">
              <w:rPr>
                <w:rFonts w:ascii="Times New Roman" w:hAnsi="Times New Roman"/>
                <w:color w:val="000000"/>
                <w:sz w:val="22"/>
                <w:szCs w:val="22"/>
              </w:rPr>
              <w:t>апирогенный</w:t>
            </w:r>
            <w:proofErr w:type="spellEnd"/>
            <w:r w:rsidRPr="00753CB1">
              <w:rPr>
                <w:rFonts w:ascii="Times New Roman" w:hAnsi="Times New Roman"/>
                <w:color w:val="000000"/>
                <w:sz w:val="22"/>
                <w:szCs w:val="22"/>
              </w:rPr>
              <w:t>, нетоксичный</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однократного применения, стерильный</w:t>
            </w:r>
            <w:proofErr w:type="gramStart"/>
            <w:r w:rsidRPr="00753CB1">
              <w:rPr>
                <w:rFonts w:ascii="Times New Roman" w:hAnsi="Times New Roman"/>
                <w:color w:val="000000"/>
                <w:sz w:val="22"/>
                <w:szCs w:val="22"/>
              </w:rPr>
              <w:t xml:space="preserve"> ,</w:t>
            </w:r>
            <w:proofErr w:type="gramEnd"/>
            <w:r w:rsidRPr="00753CB1">
              <w:rPr>
                <w:rFonts w:ascii="Times New Roman" w:hAnsi="Times New Roman"/>
                <w:color w:val="000000"/>
                <w:sz w:val="22"/>
                <w:szCs w:val="22"/>
              </w:rPr>
              <w:t xml:space="preserve"> </w:t>
            </w:r>
            <w:proofErr w:type="spellStart"/>
            <w:r w:rsidRPr="00753CB1">
              <w:rPr>
                <w:rFonts w:ascii="Times New Roman" w:hAnsi="Times New Roman"/>
                <w:color w:val="000000"/>
                <w:sz w:val="22"/>
                <w:szCs w:val="22"/>
              </w:rPr>
              <w:t>апирогенный</w:t>
            </w:r>
            <w:proofErr w:type="spellEnd"/>
            <w:r w:rsidRPr="00753CB1">
              <w:rPr>
                <w:rFonts w:ascii="Times New Roman" w:hAnsi="Times New Roman"/>
                <w:color w:val="000000"/>
                <w:sz w:val="22"/>
                <w:szCs w:val="22"/>
              </w:rPr>
              <w:t>, нетоксичный.</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1000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82760,00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 xml:space="preserve">Лот </w:t>
            </w:r>
            <w:r w:rsidRPr="008B1150">
              <w:rPr>
                <w:rFonts w:ascii="Times New Roman" w:hAnsi="Times New Roman"/>
              </w:rPr>
              <w:lastRenderedPageBreak/>
              <w:t>№15</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lastRenderedPageBreak/>
              <w:t xml:space="preserve">Зонд желудочный (с делениями 45, 55, 65, </w:t>
            </w:r>
            <w:r w:rsidRPr="00753CB1">
              <w:rPr>
                <w:rFonts w:ascii="Times New Roman" w:hAnsi="Times New Roman"/>
                <w:color w:val="000000"/>
                <w:sz w:val="22"/>
                <w:szCs w:val="22"/>
              </w:rPr>
              <w:lastRenderedPageBreak/>
              <w:t>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lastRenderedPageBreak/>
              <w:t xml:space="preserve">стерильный, однократного применения, размер СН 10,  </w:t>
            </w:r>
            <w:r w:rsidRPr="00753CB1">
              <w:rPr>
                <w:rFonts w:ascii="Times New Roman" w:hAnsi="Times New Roman"/>
                <w:color w:val="000000"/>
                <w:sz w:val="22"/>
                <w:szCs w:val="22"/>
              </w:rPr>
              <w:lastRenderedPageBreak/>
              <w:t xml:space="preserve">длина 85 см, диаметр  3,3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lastRenderedPageBreak/>
              <w:t>шт</w:t>
            </w:r>
            <w:proofErr w:type="spellEnd"/>
            <w:proofErr w:type="gramEnd"/>
          </w:p>
        </w:tc>
        <w:tc>
          <w:tcPr>
            <w:tcW w:w="992" w:type="dxa"/>
            <w:vAlign w:val="center"/>
          </w:tcPr>
          <w:p w:rsidR="00753CB1" w:rsidRPr="008B1150" w:rsidRDefault="00753CB1" w:rsidP="007636BF">
            <w:pPr>
              <w:jc w:val="center"/>
              <w:rPr>
                <w:rFonts w:ascii="Times New Roman" w:hAnsi="Times New Roman"/>
              </w:rPr>
            </w:pPr>
            <w:r>
              <w:rPr>
                <w:rFonts w:ascii="Times New Roman" w:hAnsi="Times New Roman"/>
              </w:rPr>
              <w:t>500</w:t>
            </w:r>
          </w:p>
        </w:tc>
        <w:tc>
          <w:tcPr>
            <w:tcW w:w="1559" w:type="dxa"/>
            <w:vAlign w:val="center"/>
          </w:tcPr>
          <w:p w:rsidR="00753CB1" w:rsidRPr="008B1150" w:rsidRDefault="00753CB1">
            <w:pPr>
              <w:jc w:val="center"/>
              <w:rPr>
                <w:rFonts w:ascii="Times New Roman" w:hAnsi="Times New Roman"/>
                <w:bCs/>
                <w:color w:val="000000"/>
              </w:rPr>
            </w:pPr>
            <w:r>
              <w:rPr>
                <w:rFonts w:ascii="Times New Roman" w:hAnsi="Times New Roman"/>
                <w:bCs/>
                <w:color w:val="000000"/>
              </w:rPr>
              <w:t>73025,00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lastRenderedPageBreak/>
              <w:t>Лот №16</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12,  длина 85 см, диаметр  4,0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753CB1" w:rsidP="007636BF">
            <w:pPr>
              <w:jc w:val="center"/>
              <w:rPr>
                <w:rFonts w:ascii="Times New Roman" w:hAnsi="Times New Roman"/>
              </w:rPr>
            </w:pPr>
            <w:r>
              <w:rPr>
                <w:rFonts w:ascii="Times New Roman" w:hAnsi="Times New Roman"/>
              </w:rPr>
              <w:t>500</w:t>
            </w:r>
          </w:p>
        </w:tc>
        <w:tc>
          <w:tcPr>
            <w:tcW w:w="1559" w:type="dxa"/>
            <w:vAlign w:val="center"/>
          </w:tcPr>
          <w:p w:rsidR="00753CB1" w:rsidRPr="008B1150" w:rsidRDefault="00753CB1">
            <w:pPr>
              <w:jc w:val="center"/>
              <w:rPr>
                <w:rFonts w:ascii="Times New Roman" w:hAnsi="Times New Roman"/>
                <w:bCs/>
                <w:color w:val="000000"/>
              </w:rPr>
            </w:pPr>
            <w:r>
              <w:rPr>
                <w:rFonts w:ascii="Times New Roman" w:hAnsi="Times New Roman"/>
                <w:bCs/>
                <w:color w:val="000000"/>
              </w:rPr>
              <w:t>73025,00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№17</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14,  длина 85 см, диаметр  4,7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753CB1" w:rsidP="007636BF">
            <w:pPr>
              <w:jc w:val="center"/>
              <w:rPr>
                <w:rFonts w:ascii="Times New Roman" w:hAnsi="Times New Roman"/>
              </w:rPr>
            </w:pPr>
            <w:r>
              <w:rPr>
                <w:rFonts w:ascii="Times New Roman" w:hAnsi="Times New Roman"/>
              </w:rPr>
              <w:t>550</w:t>
            </w:r>
          </w:p>
        </w:tc>
        <w:tc>
          <w:tcPr>
            <w:tcW w:w="1559" w:type="dxa"/>
            <w:vAlign w:val="center"/>
          </w:tcPr>
          <w:p w:rsidR="00753CB1" w:rsidRPr="008B1150" w:rsidRDefault="00753CB1">
            <w:pPr>
              <w:jc w:val="center"/>
              <w:rPr>
                <w:rFonts w:ascii="Times New Roman" w:hAnsi="Times New Roman"/>
                <w:bCs/>
                <w:color w:val="000000"/>
              </w:rPr>
            </w:pPr>
            <w:r>
              <w:rPr>
                <w:rFonts w:ascii="Times New Roman" w:hAnsi="Times New Roman"/>
                <w:bCs/>
                <w:color w:val="000000"/>
              </w:rPr>
              <w:t>80327,50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№18</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16,  длина 85 см, диаметр  5,3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550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80327,50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№19</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18,  длина 85 см, диаметр  6,0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550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80327,50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№20</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20,  длина 85 см, диаметр  6,7мм,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400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58420,00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№21</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22,  длина 85 см, диаметр  7,3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400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58420,00</w:t>
            </w:r>
          </w:p>
        </w:tc>
      </w:tr>
      <w:tr w:rsidR="00753CB1" w:rsidRPr="00BE4777" w:rsidTr="00F9548D">
        <w:tc>
          <w:tcPr>
            <w:tcW w:w="959" w:type="dxa"/>
          </w:tcPr>
          <w:p w:rsidR="00753CB1" w:rsidRPr="008B1150" w:rsidRDefault="00753CB1" w:rsidP="002B78D8">
            <w:pPr>
              <w:rPr>
                <w:rFonts w:ascii="Times New Roman" w:hAnsi="Times New Roman"/>
              </w:rPr>
            </w:pPr>
            <w:r w:rsidRPr="008B1150">
              <w:rPr>
                <w:rFonts w:ascii="Times New Roman" w:hAnsi="Times New Roman"/>
              </w:rPr>
              <w:t>Лот №22</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6, длина 85 см, диаметр 2,0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3F58CC" w:rsidP="007636BF">
            <w:pPr>
              <w:rPr>
                <w:rFonts w:ascii="Times New Roman" w:hAnsi="Times New Roman"/>
              </w:rPr>
            </w:pPr>
            <w:r>
              <w:rPr>
                <w:rFonts w:ascii="Times New Roman" w:hAnsi="Times New Roman"/>
              </w:rPr>
              <w:t xml:space="preserve">  </w:t>
            </w:r>
            <w:r w:rsidR="006B0BF5">
              <w:rPr>
                <w:rFonts w:ascii="Times New Roman" w:hAnsi="Times New Roman"/>
              </w:rPr>
              <w:t>100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14605,00</w:t>
            </w:r>
          </w:p>
        </w:tc>
      </w:tr>
      <w:tr w:rsidR="00753CB1" w:rsidRPr="008B1150" w:rsidTr="00F9548D">
        <w:tc>
          <w:tcPr>
            <w:tcW w:w="959" w:type="dxa"/>
          </w:tcPr>
          <w:p w:rsidR="00753CB1" w:rsidRPr="008B1150" w:rsidRDefault="00753CB1" w:rsidP="007636BF">
            <w:pPr>
              <w:rPr>
                <w:rFonts w:ascii="Times New Roman" w:hAnsi="Times New Roman"/>
              </w:rPr>
            </w:pPr>
            <w:r w:rsidRPr="008B1150">
              <w:rPr>
                <w:rFonts w:ascii="Times New Roman" w:hAnsi="Times New Roman"/>
              </w:rPr>
              <w:t>Лот №2</w:t>
            </w:r>
            <w:r>
              <w:rPr>
                <w:rFonts w:ascii="Times New Roman" w:hAnsi="Times New Roman"/>
              </w:rPr>
              <w:t>3</w:t>
            </w:r>
          </w:p>
        </w:tc>
        <w:tc>
          <w:tcPr>
            <w:tcW w:w="4678"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Зонд желудочный (с делениями 45, 55, 65, 75 см) стерильный, однократного применения</w:t>
            </w:r>
          </w:p>
        </w:tc>
        <w:tc>
          <w:tcPr>
            <w:tcW w:w="6095" w:type="dxa"/>
            <w:vAlign w:val="center"/>
          </w:tcPr>
          <w:p w:rsidR="00753CB1" w:rsidRPr="00753CB1" w:rsidRDefault="00753CB1">
            <w:pPr>
              <w:rPr>
                <w:rFonts w:ascii="Times New Roman" w:hAnsi="Times New Roman"/>
                <w:color w:val="000000"/>
                <w:sz w:val="22"/>
                <w:szCs w:val="22"/>
              </w:rPr>
            </w:pPr>
            <w:r w:rsidRPr="00753CB1">
              <w:rPr>
                <w:rFonts w:ascii="Times New Roman" w:hAnsi="Times New Roman"/>
                <w:color w:val="000000"/>
                <w:sz w:val="22"/>
                <w:szCs w:val="22"/>
              </w:rPr>
              <w:t xml:space="preserve">стерильный, однократного применения, размер СН 8,  длина 85 см, диаметр 2,7 мм, с открытой и закрытой </w:t>
            </w:r>
            <w:proofErr w:type="spellStart"/>
            <w:r w:rsidRPr="00753CB1">
              <w:rPr>
                <w:rFonts w:ascii="Times New Roman" w:hAnsi="Times New Roman"/>
                <w:color w:val="000000"/>
                <w:sz w:val="22"/>
                <w:szCs w:val="22"/>
              </w:rPr>
              <w:t>заходной</w:t>
            </w:r>
            <w:proofErr w:type="spellEnd"/>
            <w:r w:rsidRPr="00753CB1">
              <w:rPr>
                <w:rFonts w:ascii="Times New Roman" w:hAnsi="Times New Roman"/>
                <w:color w:val="000000"/>
                <w:sz w:val="22"/>
                <w:szCs w:val="22"/>
              </w:rPr>
              <w:t xml:space="preserve"> частью, двумя и четырьмя боковыми отверстиями</w:t>
            </w:r>
          </w:p>
        </w:tc>
        <w:tc>
          <w:tcPr>
            <w:tcW w:w="1134" w:type="dxa"/>
          </w:tcPr>
          <w:p w:rsidR="00753CB1" w:rsidRDefault="00753CB1" w:rsidP="00753CB1">
            <w:pPr>
              <w:jc w:val="center"/>
            </w:pPr>
            <w:proofErr w:type="spellStart"/>
            <w:proofErr w:type="gramStart"/>
            <w:r w:rsidRPr="00603F6B">
              <w:rPr>
                <w:rFonts w:ascii="Times New Roman" w:hAnsi="Times New Roman"/>
              </w:rPr>
              <w:t>шт</w:t>
            </w:r>
            <w:proofErr w:type="spellEnd"/>
            <w:proofErr w:type="gramEnd"/>
          </w:p>
        </w:tc>
        <w:tc>
          <w:tcPr>
            <w:tcW w:w="992" w:type="dxa"/>
            <w:vAlign w:val="center"/>
          </w:tcPr>
          <w:p w:rsidR="00753CB1" w:rsidRPr="008B1150" w:rsidRDefault="006B0BF5" w:rsidP="007636BF">
            <w:pPr>
              <w:jc w:val="center"/>
              <w:rPr>
                <w:rFonts w:ascii="Times New Roman" w:hAnsi="Times New Roman"/>
              </w:rPr>
            </w:pPr>
            <w:r>
              <w:rPr>
                <w:rFonts w:ascii="Times New Roman" w:hAnsi="Times New Roman"/>
              </w:rPr>
              <w:t>150</w:t>
            </w:r>
          </w:p>
        </w:tc>
        <w:tc>
          <w:tcPr>
            <w:tcW w:w="1559" w:type="dxa"/>
            <w:vAlign w:val="center"/>
          </w:tcPr>
          <w:p w:rsidR="00753CB1" w:rsidRPr="008B1150" w:rsidRDefault="006B0BF5">
            <w:pPr>
              <w:jc w:val="center"/>
              <w:rPr>
                <w:rFonts w:ascii="Times New Roman" w:hAnsi="Times New Roman"/>
                <w:bCs/>
                <w:color w:val="000000"/>
              </w:rPr>
            </w:pPr>
            <w:r>
              <w:rPr>
                <w:rFonts w:ascii="Times New Roman" w:hAnsi="Times New Roman"/>
                <w:bCs/>
                <w:color w:val="000000"/>
              </w:rPr>
              <w:t>21907,50</w:t>
            </w:r>
          </w:p>
        </w:tc>
      </w:tr>
    </w:tbl>
    <w:p w:rsidR="00B6659E" w:rsidRDefault="00B6659E" w:rsidP="006B0BF5">
      <w:pPr>
        <w:pStyle w:val="j15"/>
        <w:shd w:val="clear" w:color="auto" w:fill="FFFFFF"/>
        <w:spacing w:before="0" w:beforeAutospacing="0" w:after="0" w:afterAutospacing="0"/>
        <w:textAlignment w:val="baseline"/>
        <w:rPr>
          <w:sz w:val="28"/>
          <w:szCs w:val="28"/>
        </w:rPr>
      </w:pPr>
    </w:p>
    <w:p w:rsidR="00B6659E" w:rsidRDefault="00B6659E" w:rsidP="006B0BF5">
      <w:pPr>
        <w:pStyle w:val="j15"/>
        <w:shd w:val="clear" w:color="auto" w:fill="FFFFFF"/>
        <w:spacing w:before="0" w:beforeAutospacing="0" w:after="0" w:afterAutospacing="0"/>
        <w:textAlignment w:val="baseline"/>
        <w:rPr>
          <w:sz w:val="28"/>
          <w:szCs w:val="28"/>
        </w:rPr>
      </w:pPr>
    </w:p>
    <w:p w:rsidR="00070DD3" w:rsidRDefault="00070DD3" w:rsidP="006B0BF5">
      <w:pPr>
        <w:pStyle w:val="j15"/>
        <w:shd w:val="clear" w:color="auto" w:fill="FFFFFF"/>
        <w:spacing w:before="0" w:beforeAutospacing="0" w:after="0" w:afterAutospacing="0"/>
        <w:textAlignment w:val="baseline"/>
        <w:rPr>
          <w:sz w:val="28"/>
          <w:szCs w:val="28"/>
        </w:rPr>
      </w:pPr>
    </w:p>
    <w:p w:rsidR="006B0BF5" w:rsidRDefault="006B0BF5" w:rsidP="006B0BF5">
      <w:pPr>
        <w:pStyle w:val="j15"/>
        <w:shd w:val="clear" w:color="auto" w:fill="FFFFFF"/>
        <w:spacing w:before="0" w:beforeAutospacing="0" w:after="0" w:afterAutospacing="0"/>
        <w:textAlignment w:val="baseline"/>
        <w:rPr>
          <w:sz w:val="28"/>
          <w:szCs w:val="28"/>
        </w:rPr>
      </w:pPr>
    </w:p>
    <w:p w:rsidR="006B0BF5" w:rsidRDefault="006B0BF5" w:rsidP="002A4B82">
      <w:pPr>
        <w:pStyle w:val="j15"/>
        <w:shd w:val="clear" w:color="auto" w:fill="FFFFFF"/>
        <w:spacing w:before="0" w:beforeAutospacing="0" w:after="0" w:afterAutospacing="0"/>
        <w:ind w:firstLine="6804"/>
        <w:jc w:val="right"/>
        <w:textAlignment w:val="baseline"/>
        <w:rPr>
          <w:sz w:val="28"/>
          <w:szCs w:val="28"/>
        </w:rPr>
      </w:pPr>
    </w:p>
    <w:p w:rsidR="006B0BF5" w:rsidRDefault="006B0BF5" w:rsidP="002A4B82">
      <w:pPr>
        <w:pStyle w:val="j15"/>
        <w:shd w:val="clear" w:color="auto" w:fill="FFFFFF"/>
        <w:spacing w:before="0" w:beforeAutospacing="0" w:after="0" w:afterAutospacing="0"/>
        <w:ind w:firstLine="6804"/>
        <w:jc w:val="right"/>
        <w:textAlignment w:val="baseline"/>
        <w:rPr>
          <w:sz w:val="28"/>
          <w:szCs w:val="28"/>
        </w:rPr>
      </w:pPr>
    </w:p>
    <w:p w:rsidR="006B0BF5" w:rsidRDefault="006B0BF5" w:rsidP="002A4B82">
      <w:pPr>
        <w:pStyle w:val="j15"/>
        <w:shd w:val="clear" w:color="auto" w:fill="FFFFFF"/>
        <w:spacing w:before="0" w:beforeAutospacing="0" w:after="0" w:afterAutospacing="0"/>
        <w:ind w:firstLine="6804"/>
        <w:jc w:val="right"/>
        <w:textAlignment w:val="baseline"/>
        <w:rPr>
          <w:sz w:val="28"/>
          <w:szCs w:val="28"/>
        </w:rPr>
      </w:pPr>
    </w:p>
    <w:p w:rsidR="006B0BF5" w:rsidRDefault="006B0BF5"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lastRenderedPageBreak/>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w:t>
      </w:r>
      <w:r w:rsidRPr="00364A3B">
        <w:rPr>
          <w:spacing w:val="2"/>
          <w:sz w:val="28"/>
          <w:szCs w:val="28"/>
        </w:rPr>
        <w:lastRenderedPageBreak/>
        <w:t xml:space="preserve">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lastRenderedPageBreak/>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w:t>
      </w:r>
      <w:r w:rsidRPr="00364A3B">
        <w:rPr>
          <w:spacing w:val="2"/>
          <w:sz w:val="28"/>
          <w:szCs w:val="28"/>
        </w:rPr>
        <w:lastRenderedPageBreak/>
        <w:t>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w:t>
      </w:r>
      <w:r w:rsidRPr="00364A3B">
        <w:rPr>
          <w:spacing w:val="2"/>
          <w:sz w:val="28"/>
          <w:szCs w:val="28"/>
        </w:rPr>
        <w:lastRenderedPageBreak/>
        <w:t>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B1150">
          <w:headerReference w:type="default" r:id="rId9"/>
          <w:headerReference w:type="first" r:id="rId10"/>
          <w:pgSz w:w="16838" w:h="11906" w:orient="landscape"/>
          <w:pgMar w:top="1418"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8C" w:rsidRDefault="008A1D8C" w:rsidP="00A97CC2">
      <w:pPr>
        <w:spacing w:after="0" w:line="240" w:lineRule="auto"/>
      </w:pPr>
      <w:r>
        <w:separator/>
      </w:r>
    </w:p>
  </w:endnote>
  <w:endnote w:type="continuationSeparator" w:id="0">
    <w:p w:rsidR="008A1D8C" w:rsidRDefault="008A1D8C"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8C" w:rsidRDefault="008A1D8C" w:rsidP="00A97CC2">
      <w:pPr>
        <w:spacing w:after="0" w:line="240" w:lineRule="auto"/>
      </w:pPr>
      <w:r>
        <w:separator/>
      </w:r>
    </w:p>
  </w:footnote>
  <w:footnote w:type="continuationSeparator" w:id="0">
    <w:p w:rsidR="008A1D8C" w:rsidRDefault="008A1D8C"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7636BF" w:rsidRDefault="002C6AD8">
        <w:pPr>
          <w:pStyle w:val="ad"/>
          <w:jc w:val="center"/>
        </w:pPr>
        <w:fldSimple w:instr=" PAGE   \* MERGEFORMAT ">
          <w:r w:rsidR="003F58CC">
            <w:rPr>
              <w:noProof/>
            </w:rPr>
            <w:t>2</w:t>
          </w:r>
        </w:fldSimple>
      </w:p>
    </w:sdtContent>
  </w:sdt>
  <w:p w:rsidR="007636BF" w:rsidRDefault="007636BF">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F" w:rsidRDefault="007636BF">
    <w:pPr>
      <w:pStyle w:val="ad"/>
      <w:jc w:val="center"/>
    </w:pPr>
  </w:p>
  <w:p w:rsidR="007636BF" w:rsidRDefault="007636B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B1FBD"/>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C6AD8"/>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797"/>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69EF"/>
    <w:rsid w:val="003F45C1"/>
    <w:rsid w:val="003F58CC"/>
    <w:rsid w:val="00401156"/>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5515"/>
    <w:rsid w:val="006A788E"/>
    <w:rsid w:val="006B04B3"/>
    <w:rsid w:val="006B0BF5"/>
    <w:rsid w:val="006B46EA"/>
    <w:rsid w:val="006B507D"/>
    <w:rsid w:val="006B537E"/>
    <w:rsid w:val="006C10D1"/>
    <w:rsid w:val="006D0EA7"/>
    <w:rsid w:val="006D1DFC"/>
    <w:rsid w:val="006D4527"/>
    <w:rsid w:val="006D712D"/>
    <w:rsid w:val="006E4D87"/>
    <w:rsid w:val="006E54FE"/>
    <w:rsid w:val="006F1636"/>
    <w:rsid w:val="006F2E53"/>
    <w:rsid w:val="006F7FF8"/>
    <w:rsid w:val="00700B3C"/>
    <w:rsid w:val="007020B4"/>
    <w:rsid w:val="00704E9E"/>
    <w:rsid w:val="00731396"/>
    <w:rsid w:val="00740CF2"/>
    <w:rsid w:val="00753CB1"/>
    <w:rsid w:val="00753E98"/>
    <w:rsid w:val="007544A7"/>
    <w:rsid w:val="007565FC"/>
    <w:rsid w:val="007609FA"/>
    <w:rsid w:val="007636BF"/>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2A1"/>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1D8C"/>
    <w:rsid w:val="008A4E0E"/>
    <w:rsid w:val="008B1011"/>
    <w:rsid w:val="008B1150"/>
    <w:rsid w:val="008B16E5"/>
    <w:rsid w:val="008B4603"/>
    <w:rsid w:val="008B7F9A"/>
    <w:rsid w:val="008C4870"/>
    <w:rsid w:val="008C6B25"/>
    <w:rsid w:val="008C72F7"/>
    <w:rsid w:val="008D11E2"/>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259C"/>
    <w:rsid w:val="009D50E2"/>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9E"/>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C0972"/>
    <w:rsid w:val="00BC2FE8"/>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385B"/>
    <w:rsid w:val="00C25C29"/>
    <w:rsid w:val="00C31693"/>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BD6A-A3D1-4127-ACD8-56AAAE31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36</cp:revision>
  <cp:lastPrinted>2017-02-16T11:38:00Z</cp:lastPrinted>
  <dcterms:created xsi:type="dcterms:W3CDTF">2017-02-01T12:10:00Z</dcterms:created>
  <dcterms:modified xsi:type="dcterms:W3CDTF">2017-03-29T11:43:00Z</dcterms:modified>
</cp:coreProperties>
</file>